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B306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i w:val="0"/>
          <w:iCs w:val="0"/>
          <w:caps w:val="0"/>
          <w:color w:val="333333"/>
          <w:spacing w:val="0"/>
          <w:sz w:val="36"/>
          <w:szCs w:val="36"/>
        </w:rPr>
      </w:pPr>
      <w:r>
        <w:rPr>
          <w:rFonts w:hint="eastAsia" w:ascii="微软雅黑" w:hAnsi="微软雅黑" w:eastAsia="微软雅黑" w:cs="微软雅黑"/>
          <w:i w:val="0"/>
          <w:iCs w:val="0"/>
          <w:caps w:val="0"/>
          <w:color w:val="333333"/>
          <w:spacing w:val="0"/>
          <w:sz w:val="36"/>
          <w:szCs w:val="36"/>
          <w:shd w:val="clear" w:fill="FFFFFF"/>
        </w:rPr>
        <w:t>安徽省省属企业托管中心第四办事处办公室</w:t>
      </w:r>
      <w:r>
        <w:rPr>
          <w:rFonts w:hint="eastAsia" w:ascii="微软雅黑" w:hAnsi="微软雅黑" w:eastAsia="微软雅黑" w:cs="微软雅黑"/>
          <w:i w:val="0"/>
          <w:iCs w:val="0"/>
          <w:caps w:val="0"/>
          <w:color w:val="333333"/>
          <w:spacing w:val="0"/>
          <w:sz w:val="36"/>
          <w:szCs w:val="36"/>
          <w:shd w:val="clear" w:fill="FFFFFF"/>
          <w:lang w:val="en-US" w:eastAsia="zh-CN"/>
        </w:rPr>
        <w:t>电路改造及</w:t>
      </w:r>
      <w:r>
        <w:rPr>
          <w:rFonts w:hint="eastAsia" w:ascii="微软雅黑" w:hAnsi="微软雅黑" w:eastAsia="微软雅黑" w:cs="微软雅黑"/>
          <w:i w:val="0"/>
          <w:iCs w:val="0"/>
          <w:caps w:val="0"/>
          <w:color w:val="333333"/>
          <w:spacing w:val="0"/>
          <w:sz w:val="36"/>
          <w:szCs w:val="36"/>
          <w:shd w:val="clear" w:fill="FFFFFF"/>
        </w:rPr>
        <w:t>维修维护施工项目</w:t>
      </w:r>
      <w:r>
        <w:rPr>
          <w:rFonts w:hint="eastAsia" w:ascii="微软雅黑" w:hAnsi="微软雅黑" w:eastAsia="微软雅黑" w:cs="微软雅黑"/>
          <w:i w:val="0"/>
          <w:iCs w:val="0"/>
          <w:caps w:val="0"/>
          <w:color w:val="333333"/>
          <w:spacing w:val="0"/>
          <w:sz w:val="36"/>
          <w:szCs w:val="36"/>
          <w:shd w:val="clear" w:fill="FFFFFF"/>
          <w:lang w:val="en-US" w:eastAsia="zh-CN"/>
        </w:rPr>
        <w:t>询比</w:t>
      </w:r>
      <w:r>
        <w:rPr>
          <w:rFonts w:hint="eastAsia" w:ascii="微软雅黑" w:hAnsi="微软雅黑" w:eastAsia="微软雅黑" w:cs="微软雅黑"/>
          <w:i w:val="0"/>
          <w:iCs w:val="0"/>
          <w:caps w:val="0"/>
          <w:color w:val="333333"/>
          <w:spacing w:val="0"/>
          <w:sz w:val="36"/>
          <w:szCs w:val="36"/>
          <w:shd w:val="clear" w:fill="FFFFFF"/>
        </w:rPr>
        <w:t>公告</w:t>
      </w:r>
    </w:p>
    <w:p w14:paraId="26B2D2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rPr>
          <w:rFonts w:ascii="微软雅黑" w:hAnsi="微软雅黑" w:eastAsia="微软雅黑" w:cs="微软雅黑"/>
          <w:i w:val="0"/>
          <w:iCs w:val="0"/>
          <w:caps w:val="0"/>
          <w:color w:val="666666"/>
          <w:spacing w:val="0"/>
          <w:sz w:val="24"/>
          <w:szCs w:val="24"/>
        </w:rPr>
      </w:pPr>
    </w:p>
    <w:p w14:paraId="7C44E54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pPr>
      <w:r>
        <w:rPr>
          <w:rFonts w:ascii="微软雅黑" w:hAnsi="微软雅黑" w:eastAsia="微软雅黑" w:cs="微软雅黑"/>
          <w:i w:val="0"/>
          <w:iCs w:val="0"/>
          <w:caps w:val="0"/>
          <w:color w:val="666666"/>
          <w:spacing w:val="0"/>
          <w:sz w:val="24"/>
          <w:szCs w:val="24"/>
        </w:rPr>
        <w:t>安徽省省属企业托管中心第四办事处拟对现有合肥市包河区曙光路</w:t>
      </w:r>
      <w:r>
        <w:rPr>
          <w:rFonts w:hint="eastAsia" w:ascii="微软雅黑" w:hAnsi="微软雅黑" w:eastAsia="微软雅黑" w:cs="微软雅黑"/>
          <w:i w:val="0"/>
          <w:iCs w:val="0"/>
          <w:caps w:val="0"/>
          <w:color w:val="666666"/>
          <w:spacing w:val="0"/>
          <w:sz w:val="24"/>
          <w:szCs w:val="24"/>
        </w:rPr>
        <w:t>3号15栋101-104室4间办公室</w:t>
      </w:r>
      <w:r>
        <w:rPr>
          <w:rFonts w:hint="eastAsia" w:ascii="微软雅黑" w:hAnsi="微软雅黑" w:eastAsia="微软雅黑" w:cs="微软雅黑"/>
          <w:i w:val="0"/>
          <w:iCs w:val="0"/>
          <w:caps w:val="0"/>
          <w:color w:val="666666"/>
          <w:spacing w:val="0"/>
          <w:sz w:val="24"/>
          <w:szCs w:val="24"/>
          <w:lang w:val="en-US" w:eastAsia="zh-CN"/>
        </w:rPr>
        <w:t>电路改造及</w:t>
      </w:r>
      <w:r>
        <w:rPr>
          <w:rFonts w:hint="eastAsia" w:ascii="微软雅黑" w:hAnsi="微软雅黑" w:eastAsia="微软雅黑" w:cs="微软雅黑"/>
          <w:i w:val="0"/>
          <w:iCs w:val="0"/>
          <w:caps w:val="0"/>
          <w:color w:val="666666"/>
          <w:spacing w:val="0"/>
          <w:sz w:val="24"/>
          <w:szCs w:val="24"/>
        </w:rPr>
        <w:t>维修维护施工项目进行公开</w:t>
      </w:r>
      <w:r>
        <w:rPr>
          <w:rFonts w:hint="eastAsia" w:ascii="微软雅黑" w:hAnsi="微软雅黑" w:eastAsia="微软雅黑" w:cs="微软雅黑"/>
          <w:i w:val="0"/>
          <w:iCs w:val="0"/>
          <w:caps w:val="0"/>
          <w:color w:val="666666"/>
          <w:spacing w:val="0"/>
          <w:sz w:val="24"/>
          <w:szCs w:val="24"/>
          <w:lang w:val="en-US" w:eastAsia="zh-CN"/>
        </w:rPr>
        <w:t>询比</w:t>
      </w:r>
      <w:r>
        <w:rPr>
          <w:rFonts w:hint="eastAsia" w:ascii="微软雅黑" w:hAnsi="微软雅黑" w:eastAsia="微软雅黑" w:cs="微软雅黑"/>
          <w:i w:val="0"/>
          <w:iCs w:val="0"/>
          <w:caps w:val="0"/>
          <w:color w:val="666666"/>
          <w:spacing w:val="0"/>
          <w:sz w:val="24"/>
          <w:szCs w:val="24"/>
          <w:lang w:eastAsia="zh-CN"/>
        </w:rPr>
        <w:t>。</w:t>
      </w:r>
      <w:r>
        <w:rPr>
          <w:rFonts w:hint="eastAsia" w:ascii="微软雅黑" w:hAnsi="微软雅黑" w:eastAsia="微软雅黑" w:cs="微软雅黑"/>
          <w:i w:val="0"/>
          <w:iCs w:val="0"/>
          <w:caps w:val="0"/>
          <w:color w:val="666666"/>
          <w:spacing w:val="0"/>
          <w:sz w:val="24"/>
          <w:szCs w:val="24"/>
          <w:shd w:val="clear" w:fill="FFFFFF"/>
        </w:rPr>
        <w:t>现将有关</w:t>
      </w:r>
      <w:r>
        <w:rPr>
          <w:rFonts w:hint="eastAsia" w:ascii="微软雅黑" w:hAnsi="微软雅黑" w:eastAsia="微软雅黑" w:cs="微软雅黑"/>
          <w:i w:val="0"/>
          <w:iCs w:val="0"/>
          <w:caps w:val="0"/>
          <w:color w:val="666666"/>
          <w:spacing w:val="0"/>
          <w:sz w:val="24"/>
          <w:szCs w:val="24"/>
          <w:shd w:val="clear" w:fill="FFFFFF"/>
          <w:lang w:val="en-US" w:eastAsia="zh-CN"/>
        </w:rPr>
        <w:t>询比</w:t>
      </w:r>
      <w:r>
        <w:rPr>
          <w:rFonts w:hint="eastAsia" w:ascii="微软雅黑" w:hAnsi="微软雅黑" w:eastAsia="微软雅黑" w:cs="微软雅黑"/>
          <w:i w:val="0"/>
          <w:iCs w:val="0"/>
          <w:caps w:val="0"/>
          <w:color w:val="666666"/>
          <w:spacing w:val="0"/>
          <w:sz w:val="24"/>
          <w:szCs w:val="24"/>
          <w:shd w:val="clear" w:fill="FFFFFF"/>
        </w:rPr>
        <w:t>情况公告如下，欢迎符合条件和有意愿的单位前来参与比选。</w:t>
      </w:r>
    </w:p>
    <w:p w14:paraId="2842CD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一、项目概况</w:t>
      </w:r>
    </w:p>
    <w:p w14:paraId="3F10C3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（一）项目名称：</w:t>
      </w:r>
      <w:r>
        <w:rPr>
          <w:rFonts w:ascii="微软雅黑" w:hAnsi="微软雅黑" w:eastAsia="微软雅黑" w:cs="微软雅黑"/>
          <w:i w:val="0"/>
          <w:iCs w:val="0"/>
          <w:caps w:val="0"/>
          <w:color w:val="666666"/>
          <w:spacing w:val="0"/>
          <w:sz w:val="24"/>
          <w:szCs w:val="24"/>
        </w:rPr>
        <w:t>托管中心第四办事处</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办公室电路改造及</w:t>
      </w:r>
      <w:r>
        <w:rPr>
          <w:rFonts w:hint="eastAsia" w:ascii="微软雅黑" w:hAnsi="微软雅黑" w:eastAsia="微软雅黑" w:cs="微软雅黑"/>
          <w:i w:val="0"/>
          <w:iCs w:val="0"/>
          <w:caps w:val="0"/>
          <w:color w:val="666666"/>
          <w:spacing w:val="0"/>
          <w:sz w:val="24"/>
          <w:szCs w:val="24"/>
        </w:rPr>
        <w:t>维修维护施工项目</w:t>
      </w:r>
    </w:p>
    <w:p w14:paraId="103BEE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sz w:val="21"/>
          <w:szCs w:val="21"/>
          <w:lang w:val="en-US"/>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（二）招选人：安徽省省属企业托管中心第四办事处</w:t>
      </w:r>
    </w:p>
    <w:p w14:paraId="76033B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二、询比内容及要求</w:t>
      </w:r>
    </w:p>
    <w:p w14:paraId="030103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（一）项目地点：</w:t>
      </w:r>
    </w:p>
    <w:p w14:paraId="036E46F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合肥市包河区曙光路</w:t>
      </w:r>
      <w:r>
        <w:rPr>
          <w:rFonts w:hint="eastAsia" w:ascii="微软雅黑" w:hAnsi="微软雅黑" w:eastAsia="微软雅黑" w:cs="微软雅黑"/>
          <w:i w:val="0"/>
          <w:iCs w:val="0"/>
          <w:caps w:val="0"/>
          <w:color w:val="666666"/>
          <w:spacing w:val="0"/>
          <w:sz w:val="24"/>
          <w:szCs w:val="24"/>
        </w:rPr>
        <w:t>3号15栋101-104室</w:t>
      </w:r>
    </w:p>
    <w:p w14:paraId="3EA41F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（二）询比范围：</w:t>
      </w:r>
    </w:p>
    <w:p w14:paraId="53E723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包括但不限于</w:t>
      </w:r>
      <w:r>
        <w:rPr>
          <w:rFonts w:ascii="微软雅黑" w:hAnsi="微软雅黑" w:eastAsia="微软雅黑" w:cs="微软雅黑"/>
          <w:i w:val="0"/>
          <w:iCs w:val="0"/>
          <w:caps w:val="0"/>
          <w:color w:val="666666"/>
          <w:spacing w:val="0"/>
          <w:sz w:val="24"/>
          <w:szCs w:val="24"/>
        </w:rPr>
        <w:t>包河区曙光路</w:t>
      </w:r>
      <w:r>
        <w:rPr>
          <w:rFonts w:hint="eastAsia" w:ascii="微软雅黑" w:hAnsi="微软雅黑" w:eastAsia="微软雅黑" w:cs="微软雅黑"/>
          <w:i w:val="0"/>
          <w:iCs w:val="0"/>
          <w:caps w:val="0"/>
          <w:color w:val="666666"/>
          <w:spacing w:val="0"/>
          <w:sz w:val="24"/>
          <w:szCs w:val="24"/>
        </w:rPr>
        <w:t>3号15栋101-104室4间办公室</w:t>
      </w:r>
      <w:r>
        <w:rPr>
          <w:rFonts w:hint="eastAsia" w:ascii="微软雅黑" w:hAnsi="微软雅黑" w:eastAsia="微软雅黑" w:cs="微软雅黑"/>
          <w:i w:val="0"/>
          <w:iCs w:val="0"/>
          <w:caps w:val="0"/>
          <w:color w:val="666666"/>
          <w:spacing w:val="0"/>
          <w:sz w:val="24"/>
          <w:szCs w:val="24"/>
          <w:lang w:val="en-US" w:eastAsia="zh-CN"/>
        </w:rPr>
        <w:t>电路改造及墙面、天花板</w:t>
      </w:r>
      <w:r>
        <w:rPr>
          <w:rFonts w:hint="eastAsia" w:ascii="微软雅黑" w:hAnsi="微软雅黑" w:eastAsia="微软雅黑" w:cs="微软雅黑"/>
          <w:i w:val="0"/>
          <w:iCs w:val="0"/>
          <w:caps w:val="0"/>
          <w:color w:val="666666"/>
          <w:spacing w:val="0"/>
          <w:sz w:val="24"/>
          <w:szCs w:val="24"/>
          <w:shd w:val="clear" w:fill="FFFFFF"/>
        </w:rPr>
        <w:t>等</w:t>
      </w:r>
      <w:r>
        <w:rPr>
          <w:rFonts w:hint="eastAsia" w:ascii="微软雅黑" w:hAnsi="微软雅黑" w:eastAsia="微软雅黑" w:cs="微软雅黑"/>
          <w:i w:val="0"/>
          <w:iCs w:val="0"/>
          <w:caps w:val="0"/>
          <w:color w:val="666666"/>
          <w:spacing w:val="0"/>
          <w:sz w:val="24"/>
          <w:szCs w:val="24"/>
        </w:rPr>
        <w:t>维修维护</w:t>
      </w:r>
      <w:r>
        <w:rPr>
          <w:rFonts w:hint="eastAsia" w:ascii="微软雅黑" w:hAnsi="微软雅黑" w:eastAsia="微软雅黑" w:cs="微软雅黑"/>
          <w:i w:val="0"/>
          <w:iCs w:val="0"/>
          <w:caps w:val="0"/>
          <w:color w:val="666666"/>
          <w:spacing w:val="0"/>
          <w:sz w:val="24"/>
          <w:szCs w:val="24"/>
          <w:lang w:val="en-US" w:eastAsia="zh-CN"/>
        </w:rPr>
        <w:t>及施工现场清理</w:t>
      </w:r>
      <w:r>
        <w:rPr>
          <w:rFonts w:hint="eastAsia" w:ascii="微软雅黑" w:hAnsi="微软雅黑" w:eastAsia="微软雅黑" w:cs="微软雅黑"/>
          <w:i w:val="0"/>
          <w:iCs w:val="0"/>
          <w:caps w:val="0"/>
          <w:color w:val="666666"/>
          <w:spacing w:val="0"/>
          <w:sz w:val="24"/>
          <w:szCs w:val="24"/>
          <w:shd w:val="clear" w:fill="FFFFFF"/>
        </w:rPr>
        <w:t>。具体施工范围包含工程量清单以及补充答疑文件全部内容。</w:t>
      </w:r>
    </w:p>
    <w:p w14:paraId="3F23593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4"/>
          <w:szCs w:val="24"/>
          <w:shd w:val="clear" w:fill="FFFFFF"/>
          <w:lang w:val="en-US" w:eastAsia="zh-CN"/>
        </w:rPr>
      </w:pPr>
      <w:r>
        <w:rPr>
          <w:rFonts w:hint="eastAsia" w:ascii="微软雅黑" w:hAnsi="微软雅黑" w:eastAsia="微软雅黑" w:cs="微软雅黑"/>
          <w:i w:val="0"/>
          <w:iCs w:val="0"/>
          <w:caps w:val="0"/>
          <w:color w:val="666666"/>
          <w:spacing w:val="0"/>
          <w:sz w:val="24"/>
          <w:szCs w:val="24"/>
          <w:shd w:val="clear" w:fill="FFFFFF"/>
        </w:rPr>
        <w:t> 验收标准：合格。</w:t>
      </w:r>
    </w:p>
    <w:p w14:paraId="05859B5B">
      <w:pPr>
        <w:pStyle w:val="9"/>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4"/>
          <w:szCs w:val="24"/>
          <w:shd w:val="clear" w:fill="FFFFFF"/>
        </w:rPr>
      </w:pPr>
      <w:r>
        <w:rPr>
          <w:rFonts w:hint="eastAsia" w:ascii="微软雅黑" w:hAnsi="微软雅黑" w:eastAsia="微软雅黑" w:cs="微软雅黑"/>
          <w:i w:val="0"/>
          <w:iCs w:val="0"/>
          <w:caps w:val="0"/>
          <w:color w:val="666666"/>
          <w:spacing w:val="0"/>
          <w:sz w:val="24"/>
          <w:szCs w:val="24"/>
          <w:shd w:val="clear" w:fill="FFFFFF"/>
        </w:rPr>
        <w:t>工期要求：合同签订后，40天。</w:t>
      </w:r>
    </w:p>
    <w:p w14:paraId="09D3C8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三、参选人资格要求</w:t>
      </w:r>
    </w:p>
    <w:p w14:paraId="1B421A2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（一）参选人资质要求</w:t>
      </w:r>
    </w:p>
    <w:p w14:paraId="07720F7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1、具有独立法人资格的企业</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rPr>
        <w:t>具有效的营业执照。</w:t>
      </w:r>
    </w:p>
    <w:p w14:paraId="47DB0C8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2、投标人具有建筑装修装饰工程专业承包二级及以上资质，且具备有效的安全生产许可证；</w:t>
      </w:r>
    </w:p>
    <w:p w14:paraId="104404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3、业绩要求：自2023年6月1日以来（以合同签订时间为准），参选人至少提供1例单个合同金额3万元及以上的类似装饰装修工程业绩。</w:t>
      </w:r>
    </w:p>
    <w:p w14:paraId="46347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ascii="微软雅黑" w:hAnsi="微软雅黑" w:eastAsia="微软雅黑" w:cs="微软雅黑"/>
          <w:i w:val="0"/>
          <w:iCs w:val="0"/>
          <w:caps w:val="0"/>
          <w:color w:val="666666"/>
          <w:spacing w:val="0"/>
          <w:sz w:val="24"/>
          <w:szCs w:val="24"/>
          <w:shd w:val="clear" w:fill="FFFFFF"/>
        </w:rPr>
        <w:t>业绩证明材料以合同为准；业绩金额以合同为准，业绩时间以合同签订为准；所提供的业绩证明材料中如不能明确反映出询比文件所要求的内容的（如业绩时间、工程内容等），应另附加盖建设单位公章的证明材料予以明确说明，否则评审委员会不予认可。</w:t>
      </w:r>
    </w:p>
    <w:p w14:paraId="76D57608">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sz w:val="21"/>
          <w:szCs w:val="21"/>
          <w:lang w:val="en-US"/>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信誉要求：</w:t>
      </w:r>
    </w:p>
    <w:p w14:paraId="6F4184A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4"/>
          <w:szCs w:val="24"/>
          <w:shd w:val="clear" w:fill="FFFFFF"/>
        </w:rPr>
      </w:pPr>
      <w:r>
        <w:rPr>
          <w:rFonts w:ascii="微软雅黑" w:hAnsi="微软雅黑" w:eastAsia="微软雅黑" w:cs="微软雅黑"/>
          <w:i w:val="0"/>
          <w:iCs w:val="0"/>
          <w:caps w:val="0"/>
          <w:color w:val="666666"/>
          <w:spacing w:val="0"/>
          <w:sz w:val="24"/>
          <w:szCs w:val="24"/>
          <w:shd w:val="clear" w:fill="FFFFFF"/>
        </w:rPr>
        <w:t>供应商不得存在以下情形：</w:t>
      </w:r>
      <w:r>
        <w:rPr>
          <w:rFonts w:hint="eastAsia" w:ascii="微软雅黑" w:hAnsi="微软雅黑" w:eastAsia="微软雅黑" w:cs="微软雅黑"/>
          <w:i w:val="0"/>
          <w:iCs w:val="0"/>
          <w:caps w:val="0"/>
          <w:color w:val="666666"/>
          <w:spacing w:val="0"/>
          <w:sz w:val="21"/>
          <w:szCs w:val="21"/>
          <w:shd w:val="clear" w:fill="FFFFFF"/>
        </w:rPr>
        <w:br w:type="textWrapping"/>
      </w:r>
      <w:r>
        <w:rPr>
          <w:rFonts w:hint="eastAsia" w:ascii="微软雅黑" w:hAnsi="微软雅黑" w:eastAsia="微软雅黑" w:cs="微软雅黑"/>
          <w:i w:val="0"/>
          <w:iCs w:val="0"/>
          <w:caps w:val="0"/>
          <w:color w:val="666666"/>
          <w:spacing w:val="0"/>
          <w:sz w:val="24"/>
          <w:szCs w:val="24"/>
          <w:shd w:val="clear" w:fill="FFFFFF"/>
        </w:rPr>
        <w:t>  （1）在“国家企业信用信息公示系统”网站中被列入严重违法失信企业名单；</w:t>
      </w:r>
      <w:r>
        <w:rPr>
          <w:rFonts w:hint="eastAsia" w:ascii="微软雅黑" w:hAnsi="微软雅黑" w:eastAsia="微软雅黑" w:cs="微软雅黑"/>
          <w:i w:val="0"/>
          <w:iCs w:val="0"/>
          <w:caps w:val="0"/>
          <w:color w:val="666666"/>
          <w:spacing w:val="0"/>
          <w:sz w:val="21"/>
          <w:szCs w:val="21"/>
          <w:shd w:val="clear" w:fill="FFFFFF"/>
        </w:rPr>
        <w:br w:type="textWrapping"/>
      </w:r>
      <w:r>
        <w:rPr>
          <w:rFonts w:hint="eastAsia" w:ascii="微软雅黑" w:hAnsi="微软雅黑" w:eastAsia="微软雅黑" w:cs="微软雅黑"/>
          <w:i w:val="0"/>
          <w:iCs w:val="0"/>
          <w:caps w:val="0"/>
          <w:color w:val="666666"/>
          <w:spacing w:val="0"/>
          <w:sz w:val="24"/>
          <w:szCs w:val="24"/>
          <w:shd w:val="clear" w:fill="FFFFFF"/>
        </w:rPr>
        <w:t>  （2）在“中国执行信息公开网”网站中被列入失信被执行人名单；</w:t>
      </w:r>
      <w:r>
        <w:rPr>
          <w:rFonts w:hint="eastAsia" w:ascii="微软雅黑" w:hAnsi="微软雅黑" w:eastAsia="微软雅黑" w:cs="微软雅黑"/>
          <w:i w:val="0"/>
          <w:iCs w:val="0"/>
          <w:caps w:val="0"/>
          <w:color w:val="666666"/>
          <w:spacing w:val="0"/>
          <w:sz w:val="21"/>
          <w:szCs w:val="21"/>
          <w:shd w:val="clear" w:fill="FFFFFF"/>
        </w:rPr>
        <w:br w:type="textWrapping"/>
      </w:r>
      <w:r>
        <w:rPr>
          <w:rFonts w:hint="eastAsia" w:ascii="微软雅黑" w:hAnsi="微软雅黑" w:eastAsia="微软雅黑" w:cs="微软雅黑"/>
          <w:i w:val="0"/>
          <w:iCs w:val="0"/>
          <w:caps w:val="0"/>
          <w:color w:val="666666"/>
          <w:spacing w:val="0"/>
          <w:sz w:val="24"/>
          <w:szCs w:val="24"/>
          <w:shd w:val="clear" w:fill="FFFFFF"/>
        </w:rPr>
        <w:t>  （3）在“信用中国”网站中被列入重大税收违法案件当事人名单；</w:t>
      </w:r>
      <w:r>
        <w:rPr>
          <w:rFonts w:hint="eastAsia" w:ascii="微软雅黑" w:hAnsi="微软雅黑" w:eastAsia="微软雅黑" w:cs="微软雅黑"/>
          <w:i w:val="0"/>
          <w:iCs w:val="0"/>
          <w:caps w:val="0"/>
          <w:color w:val="666666"/>
          <w:spacing w:val="0"/>
          <w:sz w:val="21"/>
          <w:szCs w:val="21"/>
          <w:shd w:val="clear" w:fill="FFFFFF"/>
        </w:rPr>
        <w:br w:type="textWrapping"/>
      </w:r>
      <w:r>
        <w:rPr>
          <w:rFonts w:hint="eastAsia" w:ascii="微软雅黑" w:hAnsi="微软雅黑" w:eastAsia="微软雅黑" w:cs="微软雅黑"/>
          <w:i w:val="0"/>
          <w:iCs w:val="0"/>
          <w:caps w:val="0"/>
          <w:color w:val="666666"/>
          <w:spacing w:val="0"/>
          <w:sz w:val="24"/>
          <w:szCs w:val="24"/>
          <w:shd w:val="clear" w:fill="FFFFFF"/>
        </w:rPr>
        <w:t>  （4）在近三年内（2023年6月1日至今）供应商或其法定代表人（单位负责人）有行贿犯罪行为的。</w:t>
      </w:r>
    </w:p>
    <w:p w14:paraId="621C29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4"/>
          <w:szCs w:val="24"/>
          <w:shd w:val="clear" w:fill="FFFFFF"/>
          <w:lang w:val="en-US" w:eastAsia="zh-CN"/>
        </w:rPr>
      </w:pPr>
      <w:r>
        <w:rPr>
          <w:rFonts w:hint="eastAsia" w:ascii="微软雅黑" w:hAnsi="微软雅黑" w:eastAsia="微软雅黑" w:cs="微软雅黑"/>
          <w:i w:val="0"/>
          <w:iCs w:val="0"/>
          <w:caps w:val="0"/>
          <w:color w:val="666666"/>
          <w:spacing w:val="0"/>
          <w:sz w:val="24"/>
          <w:szCs w:val="24"/>
          <w:shd w:val="clear" w:fill="FFFFFF"/>
          <w:lang w:val="en-US" w:eastAsia="zh-CN"/>
        </w:rPr>
        <w:t>并</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提供《无重大违法记录申明函、无不良信用记录声明函》。</w:t>
      </w:r>
    </w:p>
    <w:p w14:paraId="29308E03">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420" w:firstLineChars="0"/>
        <w:jc w:val="left"/>
        <w:textAlignment w:val="auto"/>
        <w:rPr>
          <w:rFonts w:ascii="微软雅黑" w:hAnsi="微软雅黑" w:eastAsia="微软雅黑" w:cs="微软雅黑"/>
          <w:i w:val="0"/>
          <w:iCs w:val="0"/>
          <w:caps w:val="0"/>
          <w:color w:val="666666"/>
          <w:spacing w:val="0"/>
          <w:sz w:val="24"/>
          <w:szCs w:val="24"/>
          <w:shd w:val="clear" w:fill="FFFFFF"/>
        </w:rPr>
      </w:pPr>
      <w:r>
        <w:rPr>
          <w:rFonts w:ascii="微软雅黑" w:hAnsi="微软雅黑" w:eastAsia="微软雅黑" w:cs="微软雅黑"/>
          <w:i w:val="0"/>
          <w:iCs w:val="0"/>
          <w:caps w:val="0"/>
          <w:color w:val="666666"/>
          <w:spacing w:val="0"/>
          <w:sz w:val="24"/>
          <w:szCs w:val="24"/>
          <w:shd w:val="clear" w:fill="FFFFFF"/>
        </w:rPr>
        <w:t>单位负责人为同一人或者存在直接控股、管理关系的不同供应商，不得参加同一项目的</w:t>
      </w:r>
      <w:r>
        <w:rPr>
          <w:rFonts w:hint="eastAsia" w:ascii="微软雅黑" w:hAnsi="微软雅黑" w:eastAsia="微软雅黑" w:cs="微软雅黑"/>
          <w:i w:val="0"/>
          <w:iCs w:val="0"/>
          <w:caps w:val="0"/>
          <w:color w:val="666666"/>
          <w:spacing w:val="0"/>
          <w:sz w:val="24"/>
          <w:szCs w:val="24"/>
          <w:shd w:val="clear" w:fill="FFFFFF"/>
          <w:lang w:val="en-US" w:eastAsia="zh-CN"/>
        </w:rPr>
        <w:t>询比</w:t>
      </w:r>
      <w:r>
        <w:rPr>
          <w:rFonts w:ascii="微软雅黑" w:hAnsi="微软雅黑" w:eastAsia="微软雅黑" w:cs="微软雅黑"/>
          <w:i w:val="0"/>
          <w:iCs w:val="0"/>
          <w:caps w:val="0"/>
          <w:color w:val="666666"/>
          <w:spacing w:val="0"/>
          <w:sz w:val="24"/>
          <w:szCs w:val="24"/>
          <w:shd w:val="clear" w:fill="FFFFFF"/>
        </w:rPr>
        <w:t>活动。</w:t>
      </w:r>
    </w:p>
    <w:p w14:paraId="3B77B8B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420" w:leftChars="0" w:right="0" w:rightChars="0"/>
        <w:jc w:val="left"/>
        <w:textAlignment w:val="auto"/>
        <w:rPr>
          <w:rFonts w:hint="default" w:ascii="微软雅黑" w:hAnsi="微软雅黑" w:eastAsia="微软雅黑" w:cs="微软雅黑"/>
          <w:i w:val="0"/>
          <w:iCs w:val="0"/>
          <w:caps w:val="0"/>
          <w:color w:val="666666"/>
          <w:spacing w:val="0"/>
          <w:sz w:val="24"/>
          <w:szCs w:val="24"/>
          <w:shd w:val="clear" w:fill="FFFFFF"/>
          <w:lang w:val="en-US" w:eastAsia="zh-CN"/>
        </w:rPr>
      </w:pPr>
      <w:r>
        <w:rPr>
          <w:rFonts w:hint="eastAsia" w:ascii="微软雅黑" w:hAnsi="微软雅黑" w:eastAsia="微软雅黑" w:cs="微软雅黑"/>
          <w:i w:val="0"/>
          <w:iCs w:val="0"/>
          <w:caps w:val="0"/>
          <w:color w:val="666666"/>
          <w:spacing w:val="0"/>
          <w:sz w:val="24"/>
          <w:szCs w:val="24"/>
          <w:shd w:val="clear" w:fill="FFFFFF"/>
          <w:lang w:val="en-US" w:eastAsia="zh-CN"/>
        </w:rPr>
        <w:t>6、</w:t>
      </w:r>
      <w:r>
        <w:rPr>
          <w:rFonts w:hint="eastAsia" w:ascii="微软雅黑" w:hAnsi="微软雅黑" w:eastAsia="微软雅黑" w:cs="微软雅黑"/>
          <w:i w:val="0"/>
          <w:iCs w:val="0"/>
          <w:caps w:val="0"/>
          <w:color w:val="666666"/>
          <w:spacing w:val="0"/>
          <w:sz w:val="24"/>
          <w:szCs w:val="24"/>
          <w:shd w:val="clear" w:fill="FFFFFF"/>
        </w:rPr>
        <w:t>本次</w:t>
      </w:r>
      <w:r>
        <w:rPr>
          <w:rFonts w:hint="eastAsia" w:ascii="微软雅黑" w:hAnsi="微软雅黑" w:eastAsia="微软雅黑" w:cs="微软雅黑"/>
          <w:i w:val="0"/>
          <w:iCs w:val="0"/>
          <w:caps w:val="0"/>
          <w:color w:val="666666"/>
          <w:spacing w:val="0"/>
          <w:sz w:val="24"/>
          <w:szCs w:val="24"/>
          <w:shd w:val="clear" w:fill="FFFFFF"/>
          <w:lang w:val="en-US" w:eastAsia="zh-CN"/>
        </w:rPr>
        <w:t>询比</w:t>
      </w:r>
      <w:r>
        <w:rPr>
          <w:rFonts w:hint="eastAsia" w:ascii="微软雅黑" w:hAnsi="微软雅黑" w:eastAsia="微软雅黑" w:cs="微软雅黑"/>
          <w:i w:val="0"/>
          <w:iCs w:val="0"/>
          <w:caps w:val="0"/>
          <w:color w:val="666666"/>
          <w:spacing w:val="0"/>
          <w:sz w:val="24"/>
          <w:szCs w:val="24"/>
          <w:shd w:val="clear" w:fill="FFFFFF"/>
        </w:rPr>
        <w:t>不接受联合体报名。</w:t>
      </w:r>
    </w:p>
    <w:p w14:paraId="68534CA0">
      <w:pPr>
        <w:keepNext w:val="0"/>
        <w:keepLines w:val="0"/>
        <w:pageBreakBefore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（三）质量要求：合格，符合国家规范标准；</w:t>
      </w:r>
    </w:p>
    <w:p w14:paraId="199B11F4">
      <w:pPr>
        <w:keepNext w:val="0"/>
        <w:keepLines w:val="0"/>
        <w:pageBreakBefore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i w:val="0"/>
          <w:iCs w:val="0"/>
          <w:caps w:val="0"/>
          <w:color w:val="666666"/>
          <w:spacing w:val="0"/>
          <w:sz w:val="24"/>
          <w:szCs w:val="24"/>
          <w:shd w:val="clear" w:fill="FFFFFF"/>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（四）质保期：自竣工验收合格之日起1年；</w:t>
      </w:r>
    </w:p>
    <w:p w14:paraId="3753CA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四、参选报价说明</w:t>
      </w:r>
    </w:p>
    <w:p w14:paraId="4DC4BC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（一）本工程最高限价为人民币</w:t>
      </w:r>
      <w:r>
        <w:rPr>
          <w:rFonts w:hint="eastAsia" w:ascii="微软雅黑" w:hAnsi="微软雅黑" w:eastAsia="微软雅黑" w:cs="微软雅黑"/>
          <w:i w:val="0"/>
          <w:iCs w:val="0"/>
          <w:caps w:val="0"/>
          <w:color w:val="666666"/>
          <w:spacing w:val="0"/>
          <w:sz w:val="24"/>
          <w:szCs w:val="24"/>
          <w:shd w:val="clear" w:fill="FFFFFF"/>
          <w:lang w:val="en-US" w:eastAsia="zh-CN"/>
        </w:rPr>
        <w:t>陆</w:t>
      </w:r>
      <w:r>
        <w:rPr>
          <w:rFonts w:hint="eastAsia" w:ascii="微软雅黑" w:hAnsi="微软雅黑" w:eastAsia="微软雅黑" w:cs="微软雅黑"/>
          <w:i w:val="0"/>
          <w:iCs w:val="0"/>
          <w:caps w:val="0"/>
          <w:color w:val="666666"/>
          <w:spacing w:val="0"/>
          <w:sz w:val="24"/>
          <w:szCs w:val="24"/>
          <w:shd w:val="clear" w:fill="FFFFFF"/>
        </w:rPr>
        <w:t>万圆整（</w:t>
      </w:r>
      <w:r>
        <w:rPr>
          <w:rFonts w:hint="eastAsia" w:ascii="微软雅黑" w:hAnsi="微软雅黑" w:eastAsia="微软雅黑" w:cs="微软雅黑"/>
          <w:i w:val="0"/>
          <w:iCs w:val="0"/>
          <w:caps w:val="0"/>
          <w:color w:val="666666"/>
          <w:spacing w:val="0"/>
          <w:sz w:val="24"/>
          <w:szCs w:val="24"/>
          <w:shd w:val="clear" w:fill="FFFFFF"/>
          <w:lang w:val="en-US" w:eastAsia="zh-CN"/>
        </w:rPr>
        <w:t>60</w:t>
      </w:r>
      <w:r>
        <w:rPr>
          <w:rFonts w:hint="eastAsia" w:ascii="微软雅黑" w:hAnsi="微软雅黑" w:eastAsia="微软雅黑" w:cs="微软雅黑"/>
          <w:i w:val="0"/>
          <w:iCs w:val="0"/>
          <w:caps w:val="0"/>
          <w:color w:val="666666"/>
          <w:spacing w:val="0"/>
          <w:sz w:val="24"/>
          <w:szCs w:val="24"/>
          <w:shd w:val="clear" w:fill="FFFFFF"/>
        </w:rPr>
        <w:t>000元），参选人的报价高于采购单位最高限价的，视为不响应比选文件，按废标处理。</w:t>
      </w:r>
    </w:p>
    <w:p w14:paraId="1DAD6D5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（二）其他说明</w:t>
      </w:r>
    </w:p>
    <w:p w14:paraId="4D5EC7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1.采用固定总价，包含但不限于参选人为妥善履行本合同涉及的人工费、材料费、保管费、制作加工费、运输费、知识产权及相关权利使用费、保险、利润、税金及途中风险等一切费用，报价不因任何原因及不可抗力因素而调整。除前述费用外，参选人不得就本次比选再另行向招选人增加任何费用。</w:t>
      </w:r>
    </w:p>
    <w:p w14:paraId="489FAA3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2.所有参选人的参选文件不予退还。</w:t>
      </w:r>
    </w:p>
    <w:p w14:paraId="3551FE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4"/>
          <w:szCs w:val="24"/>
          <w:shd w:val="clear" w:fill="FFFFFF"/>
        </w:rPr>
      </w:pPr>
      <w:r>
        <w:rPr>
          <w:rFonts w:hint="eastAsia" w:ascii="微软雅黑" w:hAnsi="微软雅黑" w:eastAsia="微软雅黑" w:cs="微软雅黑"/>
          <w:i w:val="0"/>
          <w:iCs w:val="0"/>
          <w:caps w:val="0"/>
          <w:color w:val="666666"/>
          <w:spacing w:val="0"/>
          <w:sz w:val="24"/>
          <w:szCs w:val="24"/>
          <w:shd w:val="clear" w:fill="FFFFFF"/>
        </w:rPr>
        <w:t>3.参选人应联系招选人至工地现场实际踏勘，以充分了解工地位置、情况、道路、储存空间、装卸限制、现场工程进度状况及任何其他足以影响承包价的情况，任何因忽视或误解工地情况而导致的索赔或工期延长申请将不被批准。按照提供的工程明细内容，编制装修施工方案</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lang w:val="en-US" w:eastAsia="zh-CN"/>
        </w:rPr>
        <w:t>如有</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rPr>
        <w:t>、全套施工图纸</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lang w:val="en-US" w:eastAsia="zh-CN"/>
        </w:rPr>
        <w:t>如有</w:t>
      </w:r>
      <w:r>
        <w:rPr>
          <w:rFonts w:hint="eastAsia" w:ascii="微软雅黑" w:hAnsi="微软雅黑" w:eastAsia="微软雅黑" w:cs="微软雅黑"/>
          <w:i w:val="0"/>
          <w:iCs w:val="0"/>
          <w:caps w:val="0"/>
          <w:color w:val="666666"/>
          <w:spacing w:val="0"/>
          <w:sz w:val="24"/>
          <w:szCs w:val="24"/>
          <w:shd w:val="clear" w:fill="FFFFFF"/>
          <w:lang w:eastAsia="zh-CN"/>
        </w:rPr>
        <w:t>）</w:t>
      </w:r>
      <w:r>
        <w:rPr>
          <w:rFonts w:hint="eastAsia" w:ascii="微软雅黑" w:hAnsi="微软雅黑" w:eastAsia="微软雅黑" w:cs="微软雅黑"/>
          <w:i w:val="0"/>
          <w:iCs w:val="0"/>
          <w:caps w:val="0"/>
          <w:color w:val="666666"/>
          <w:spacing w:val="0"/>
          <w:sz w:val="24"/>
          <w:szCs w:val="24"/>
          <w:shd w:val="clear" w:fill="FFFFFF"/>
        </w:rPr>
        <w:t>等。</w:t>
      </w:r>
    </w:p>
    <w:p w14:paraId="632141E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4.未经招选人许可，不得将本项目转包或分包给其他单位或个人，一经发现，将立即终止合同，并赔偿由此造成招选人的一切经济损失。</w:t>
      </w:r>
    </w:p>
    <w:p w14:paraId="7B7BFFB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5.参选人报价一经认可，即为签约的合同价。一经做出报价，有效期内不可撤回。</w:t>
      </w:r>
    </w:p>
    <w:p w14:paraId="762D4B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6.参选人应根据比选文件中各项要求编制报价文件，一切降低比选文件要求的报价文件均视为无效报价文件。</w:t>
      </w:r>
    </w:p>
    <w:p w14:paraId="3F35EB3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sz w:val="24"/>
          <w:szCs w:val="24"/>
          <w:shd w:val="clear" w:fill="FFFFFF"/>
        </w:rPr>
        <w:t>7.本着诚实信用原则，参选人的一切参选文件和参选行为必须真实有效，招选人若发现参选人的一切参选文件和参选行为有弄虚作假的，经核实后将取消其参选、中选资格，要求其承担因此给招选人造成的全部损失。</w:t>
      </w:r>
    </w:p>
    <w:p w14:paraId="49FC3C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 五、参选文件递交方式</w:t>
      </w:r>
    </w:p>
    <w:p w14:paraId="708456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（一）发布公告媒介：</w:t>
      </w:r>
    </w:p>
    <w:p w14:paraId="67483B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 安徽国控资产管理有限公司官网（https:///www.ahgkzc.com）</w:t>
      </w:r>
    </w:p>
    <w:p w14:paraId="1CF89A8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（二）招标截止日期前，按照参选文件要求，一份正本二份副本单独密封，邮寄至合肥市包河区曙光路3号15栋安徽省省属企业托管中心第四办事处综合管理部（8：30-11：30，14：30-17：30）</w:t>
      </w:r>
    </w:p>
    <w:p w14:paraId="04A4D9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 六、联系方式及投标截止时间</w:t>
      </w:r>
    </w:p>
    <w:p w14:paraId="157B66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（一）地址：合肥市包河区曙光路3号15栋安徽省省属企业托管中心第四办事处</w:t>
      </w:r>
      <w:bookmarkStart w:id="25" w:name="_GoBack"/>
      <w:bookmarkEnd w:id="25"/>
    </w:p>
    <w:p w14:paraId="173EF5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sz w:val="21"/>
          <w:szCs w:val="21"/>
          <w:lang w:val="en-US"/>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联系人：夏先生</w:t>
      </w:r>
    </w:p>
    <w:p w14:paraId="18787D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default" w:ascii="微软雅黑" w:hAnsi="微软雅黑" w:eastAsia="微软雅黑" w:cs="微软雅黑"/>
          <w:i w:val="0"/>
          <w:iCs w:val="0"/>
          <w:caps w:val="0"/>
          <w:color w:val="666666"/>
          <w:spacing w:val="0"/>
          <w:sz w:val="21"/>
          <w:szCs w:val="21"/>
          <w:lang w:val="en-US"/>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联系电话：0551-63636876</w:t>
      </w:r>
    </w:p>
    <w:p w14:paraId="721074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（二）投标截止时间：2026年8月27日-9月2日17：00 。</w:t>
      </w:r>
    </w:p>
    <w:p w14:paraId="74BDEF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2004B3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0180E4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default" w:ascii="微软雅黑" w:hAnsi="微软雅黑" w:eastAsia="微软雅黑" w:cs="微软雅黑"/>
          <w:i w:val="0"/>
          <w:iCs w:val="0"/>
          <w:caps w:val="0"/>
          <w:color w:val="666666"/>
          <w:spacing w:val="0"/>
          <w:sz w:val="21"/>
          <w:szCs w:val="21"/>
          <w:lang w:val="en-US"/>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安徽省省属企业托管中心第四办事处</w:t>
      </w:r>
    </w:p>
    <w:p w14:paraId="35D935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微软雅黑" w:hAnsi="微软雅黑" w:eastAsia="微软雅黑" w:cs="微软雅黑"/>
          <w:i w:val="0"/>
          <w:iCs w:val="0"/>
          <w:caps w:val="0"/>
          <w:color w:val="666666"/>
          <w:spacing w:val="0"/>
          <w:sz w:val="21"/>
          <w:szCs w:val="21"/>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                         2026年8月26日</w:t>
      </w:r>
    </w:p>
    <w:p w14:paraId="759491FA">
      <w:pPr>
        <w:keepNext w:val="0"/>
        <w:keepLines w:val="0"/>
        <w:pageBreakBefore w:val="0"/>
        <w:kinsoku/>
        <w:wordWrap/>
        <w:overflowPunct/>
        <w:topLinePunct w:val="0"/>
        <w:autoSpaceDE/>
        <w:autoSpaceDN/>
        <w:bidi w:val="0"/>
        <w:adjustRightInd/>
        <w:snapToGrid/>
        <w:spacing w:line="560" w:lineRule="exact"/>
        <w:textAlignment w:val="auto"/>
      </w:pPr>
    </w:p>
    <w:p w14:paraId="4CBACCDA">
      <w:pPr>
        <w:keepNext w:val="0"/>
        <w:keepLines w:val="0"/>
        <w:pageBreakBefore w:val="0"/>
        <w:kinsoku/>
        <w:wordWrap/>
        <w:overflowPunct/>
        <w:topLinePunct w:val="0"/>
        <w:autoSpaceDE/>
        <w:autoSpaceDN/>
        <w:bidi w:val="0"/>
        <w:adjustRightInd/>
        <w:snapToGrid/>
        <w:spacing w:line="560" w:lineRule="exact"/>
        <w:textAlignment w:val="auto"/>
      </w:pPr>
    </w:p>
    <w:p w14:paraId="5A8044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附件：《评审办法》</w:t>
      </w:r>
    </w:p>
    <w:p w14:paraId="5DD8AE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6D5118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606D8F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34D31D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19FEA0D2">
      <w:pPr>
        <w:pStyle w:val="2"/>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3455620E">
      <w:pPr>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124BA1E0">
      <w:pPr>
        <w:pStyle w:val="2"/>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7C437684">
      <w:pPr>
        <w:pStyle w:val="5"/>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218B9DC0">
      <w:pPr>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45F9FD3A">
      <w:pPr>
        <w:pStyle w:val="2"/>
        <w:rPr>
          <w:rFonts w:hint="eastAsia"/>
          <w:lang w:val="en-US" w:eastAsia="zh-CN"/>
        </w:rPr>
      </w:pPr>
    </w:p>
    <w:p w14:paraId="5E8CF1F2">
      <w:pPr>
        <w:pStyle w:val="2"/>
        <w:rPr>
          <w:rFonts w:hint="eastAsia"/>
          <w:lang w:val="en-US" w:eastAsia="zh-CN"/>
        </w:rPr>
      </w:pPr>
    </w:p>
    <w:p w14:paraId="50506C4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i w:val="0"/>
          <w:iCs w:val="0"/>
          <w:caps w:val="0"/>
          <w:color w:val="333333"/>
          <w:spacing w:val="0"/>
          <w:sz w:val="36"/>
          <w:szCs w:val="36"/>
          <w:shd w:val="clear" w:fill="FFFFFF"/>
        </w:rPr>
      </w:pPr>
      <w:r>
        <w:rPr>
          <w:rFonts w:hint="eastAsia" w:ascii="微软雅黑" w:hAnsi="微软雅黑" w:eastAsia="微软雅黑" w:cs="微软雅黑"/>
          <w:i w:val="0"/>
          <w:iCs w:val="0"/>
          <w:caps w:val="0"/>
          <w:color w:val="333333"/>
          <w:spacing w:val="0"/>
          <w:sz w:val="36"/>
          <w:szCs w:val="36"/>
          <w:shd w:val="clear" w:fill="FFFFFF"/>
        </w:rPr>
        <w:t>安徽省省属企业托管中心第四办事处</w:t>
      </w:r>
    </w:p>
    <w:p w14:paraId="02438CF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hint="eastAsia" w:ascii="微软雅黑" w:hAnsi="微软雅黑" w:eastAsia="微软雅黑" w:cs="微软雅黑"/>
          <w:i w:val="0"/>
          <w:iCs w:val="0"/>
          <w:caps w:val="0"/>
          <w:color w:val="333333"/>
          <w:spacing w:val="0"/>
          <w:sz w:val="36"/>
          <w:szCs w:val="36"/>
          <w:shd w:val="clear" w:fill="FFFFFF"/>
          <w:lang w:val="en-US" w:eastAsia="zh-CN"/>
        </w:rPr>
      </w:pPr>
      <w:r>
        <w:rPr>
          <w:rFonts w:hint="eastAsia" w:ascii="微软雅黑" w:hAnsi="微软雅黑" w:eastAsia="微软雅黑" w:cs="微软雅黑"/>
          <w:i w:val="0"/>
          <w:iCs w:val="0"/>
          <w:caps w:val="0"/>
          <w:color w:val="333333"/>
          <w:spacing w:val="0"/>
          <w:sz w:val="36"/>
          <w:szCs w:val="36"/>
          <w:shd w:val="clear" w:fill="FFFFFF"/>
        </w:rPr>
        <w:t>办公室</w:t>
      </w:r>
      <w:r>
        <w:rPr>
          <w:rFonts w:hint="eastAsia" w:ascii="微软雅黑" w:hAnsi="微软雅黑" w:eastAsia="微软雅黑" w:cs="微软雅黑"/>
          <w:i w:val="0"/>
          <w:iCs w:val="0"/>
          <w:caps w:val="0"/>
          <w:color w:val="333333"/>
          <w:spacing w:val="0"/>
          <w:sz w:val="36"/>
          <w:szCs w:val="36"/>
          <w:shd w:val="clear" w:fill="FFFFFF"/>
          <w:lang w:val="en-US" w:eastAsia="zh-CN"/>
        </w:rPr>
        <w:t>电路改造及</w:t>
      </w:r>
      <w:r>
        <w:rPr>
          <w:rFonts w:hint="eastAsia" w:ascii="微软雅黑" w:hAnsi="微软雅黑" w:eastAsia="微软雅黑" w:cs="微软雅黑"/>
          <w:i w:val="0"/>
          <w:iCs w:val="0"/>
          <w:caps w:val="0"/>
          <w:color w:val="333333"/>
          <w:spacing w:val="0"/>
          <w:sz w:val="36"/>
          <w:szCs w:val="36"/>
          <w:shd w:val="clear" w:fill="FFFFFF"/>
        </w:rPr>
        <w:t>维修维护施工项目</w:t>
      </w:r>
      <w:r>
        <w:rPr>
          <w:rFonts w:hint="eastAsia" w:ascii="微软雅黑" w:hAnsi="微软雅黑" w:eastAsia="微软雅黑" w:cs="微软雅黑"/>
          <w:i w:val="0"/>
          <w:iCs w:val="0"/>
          <w:caps w:val="0"/>
          <w:color w:val="333333"/>
          <w:spacing w:val="0"/>
          <w:sz w:val="36"/>
          <w:szCs w:val="36"/>
          <w:shd w:val="clear" w:fill="FFFFFF"/>
          <w:lang w:val="en-US" w:eastAsia="zh-CN"/>
        </w:rPr>
        <w:t>评审办法</w:t>
      </w:r>
    </w:p>
    <w:p w14:paraId="5B2E7B0A">
      <w:pPr>
        <w:spacing w:line="360" w:lineRule="auto"/>
        <w:ind w:firstLine="562" w:firstLineChars="200"/>
        <w:rPr>
          <w:rFonts w:hint="eastAsia" w:ascii="宋体" w:hAnsi="宋体"/>
          <w:b/>
          <w:sz w:val="28"/>
          <w:szCs w:val="28"/>
        </w:rPr>
      </w:pPr>
      <w:bookmarkStart w:id="0" w:name="_Toc314041832"/>
      <w:bookmarkStart w:id="1" w:name="_Toc314139522"/>
      <w:bookmarkStart w:id="2" w:name="_Toc280716101"/>
      <w:bookmarkStart w:id="3" w:name="_Toc356993570"/>
      <w:bookmarkStart w:id="4" w:name="_Toc314139605"/>
    </w:p>
    <w:p w14:paraId="640029B9">
      <w:pPr>
        <w:spacing w:line="360" w:lineRule="auto"/>
        <w:ind w:firstLine="562" w:firstLineChars="200"/>
        <w:rPr>
          <w:rFonts w:ascii="宋体" w:hAnsi="宋体"/>
          <w:b/>
          <w:sz w:val="28"/>
          <w:szCs w:val="28"/>
        </w:rPr>
      </w:pPr>
      <w:r>
        <w:rPr>
          <w:rFonts w:hint="eastAsia" w:ascii="宋体" w:hAnsi="宋体"/>
          <w:b/>
          <w:sz w:val="28"/>
          <w:szCs w:val="28"/>
        </w:rPr>
        <w:t>一、总则</w:t>
      </w:r>
    </w:p>
    <w:p w14:paraId="2FE4E583">
      <w:pPr>
        <w:spacing w:line="360" w:lineRule="auto"/>
        <w:ind w:firstLine="480" w:firstLineChars="200"/>
        <w:rPr>
          <w:rFonts w:hint="eastAsia" w:ascii="宋体" w:hAnsi="宋体"/>
          <w:b/>
          <w:sz w:val="28"/>
          <w:szCs w:val="28"/>
        </w:rPr>
      </w:pPr>
      <w:r>
        <w:rPr>
          <w:rFonts w:hint="eastAsia" w:ascii="宋体" w:hAnsi="宋体"/>
          <w:sz w:val="24"/>
          <w:szCs w:val="20"/>
        </w:rPr>
        <w:t>遵循公平、公正、科学、择优的原则，依据招标文件中的标准、办法，对所有合格投标文件进行相同程序和标准的评估、比较，判断投标文件的响应性基于投标文件本身，但评标委员会认为有必要也参考可信的外部证据。</w:t>
      </w:r>
    </w:p>
    <w:p w14:paraId="71BA97C1">
      <w:pPr>
        <w:spacing w:line="360" w:lineRule="auto"/>
        <w:ind w:firstLine="562" w:firstLineChars="200"/>
        <w:rPr>
          <w:rFonts w:hint="eastAsia" w:ascii="宋体" w:hAnsi="宋体"/>
          <w:b/>
          <w:sz w:val="28"/>
          <w:szCs w:val="28"/>
        </w:rPr>
      </w:pPr>
    </w:p>
    <w:p w14:paraId="4D609C10">
      <w:pPr>
        <w:spacing w:line="360" w:lineRule="auto"/>
        <w:ind w:firstLine="562" w:firstLineChars="200"/>
        <w:rPr>
          <w:rFonts w:ascii="宋体" w:hAnsi="宋体"/>
          <w:b/>
          <w:sz w:val="28"/>
          <w:szCs w:val="28"/>
        </w:rPr>
      </w:pPr>
      <w:r>
        <w:rPr>
          <w:rFonts w:hint="eastAsia" w:ascii="宋体" w:hAnsi="宋体"/>
          <w:b/>
          <w:sz w:val="28"/>
          <w:szCs w:val="28"/>
        </w:rPr>
        <w:t>二、评标方法和评标程序</w:t>
      </w:r>
    </w:p>
    <w:p w14:paraId="43E9BA0A">
      <w:pPr>
        <w:spacing w:line="360" w:lineRule="auto"/>
        <w:ind w:firstLine="482" w:firstLineChars="200"/>
        <w:outlineLvl w:val="0"/>
        <w:rPr>
          <w:rFonts w:ascii="楷体" w:hAnsi="楷体" w:eastAsia="楷体"/>
          <w:b/>
          <w:sz w:val="24"/>
          <w:szCs w:val="20"/>
        </w:rPr>
      </w:pPr>
      <w:bookmarkStart w:id="5" w:name="_Toc11165376"/>
      <w:bookmarkStart w:id="6" w:name="_Toc11077264"/>
      <w:bookmarkStart w:id="7" w:name="_Toc26439"/>
      <w:bookmarkStart w:id="8" w:name="_Toc11165693"/>
      <w:bookmarkStart w:id="9" w:name="_Toc482970517"/>
      <w:bookmarkStart w:id="10" w:name="_Toc11048780"/>
      <w:bookmarkStart w:id="11" w:name="_Toc33704208"/>
      <w:bookmarkStart w:id="12" w:name="_Toc483494896"/>
      <w:bookmarkStart w:id="13" w:name="_Toc42098560"/>
      <w:bookmarkStart w:id="14" w:name="_Toc11048863"/>
      <w:r>
        <w:rPr>
          <w:rFonts w:hint="eastAsia" w:ascii="楷体" w:hAnsi="楷体" w:eastAsia="楷体"/>
          <w:b/>
          <w:sz w:val="24"/>
          <w:szCs w:val="20"/>
        </w:rPr>
        <w:t>（一</w:t>
      </w:r>
      <w:r>
        <w:rPr>
          <w:rFonts w:hint="eastAsia" w:ascii="宋体" w:hAnsi="宋体" w:cs="宋体"/>
          <w:b/>
          <w:sz w:val="24"/>
          <w:szCs w:val="20"/>
        </w:rPr>
        <w:t>）评标方法</w:t>
      </w:r>
      <w:bookmarkEnd w:id="5"/>
      <w:bookmarkEnd w:id="6"/>
      <w:bookmarkEnd w:id="7"/>
      <w:bookmarkEnd w:id="8"/>
      <w:bookmarkEnd w:id="9"/>
      <w:bookmarkEnd w:id="10"/>
      <w:bookmarkEnd w:id="11"/>
      <w:bookmarkEnd w:id="12"/>
      <w:bookmarkEnd w:id="13"/>
      <w:bookmarkEnd w:id="14"/>
    </w:p>
    <w:p w14:paraId="13A3BF8F">
      <w:pPr>
        <w:spacing w:line="360" w:lineRule="auto"/>
        <w:ind w:firstLine="480" w:firstLineChars="200"/>
        <w:rPr>
          <w:rFonts w:ascii="宋体" w:hAnsi="宋体"/>
          <w:sz w:val="24"/>
          <w:szCs w:val="20"/>
        </w:rPr>
      </w:pPr>
      <w:r>
        <w:rPr>
          <w:rFonts w:hint="eastAsia" w:ascii="宋体" w:hAnsi="宋体"/>
          <w:sz w:val="24"/>
          <w:szCs w:val="20"/>
        </w:rPr>
        <w:t>1、本项目采用综合评估法，综合评定出各投标人的排名顺序；</w:t>
      </w:r>
    </w:p>
    <w:p w14:paraId="57F393DF">
      <w:pPr>
        <w:spacing w:line="360" w:lineRule="auto"/>
        <w:ind w:firstLine="480" w:firstLineChars="200"/>
        <w:rPr>
          <w:rFonts w:ascii="宋体" w:hAnsi="宋体"/>
          <w:sz w:val="24"/>
          <w:szCs w:val="20"/>
        </w:rPr>
      </w:pPr>
      <w:r>
        <w:rPr>
          <w:rFonts w:hint="eastAsia" w:ascii="宋体" w:hAnsi="宋体"/>
          <w:sz w:val="24"/>
          <w:szCs w:val="20"/>
        </w:rPr>
        <w:t>2、在技术和商务方面对合格投标人的投标文件进行系统地评审和比较；</w:t>
      </w:r>
    </w:p>
    <w:p w14:paraId="46385563">
      <w:pPr>
        <w:spacing w:line="360" w:lineRule="auto"/>
        <w:ind w:firstLine="480" w:firstLineChars="200"/>
        <w:rPr>
          <w:rFonts w:ascii="宋体" w:hAnsi="宋体"/>
          <w:sz w:val="24"/>
          <w:szCs w:val="20"/>
        </w:rPr>
      </w:pPr>
      <w:r>
        <w:rPr>
          <w:rFonts w:hint="eastAsia" w:ascii="宋体" w:hAnsi="宋体"/>
          <w:sz w:val="24"/>
          <w:szCs w:val="20"/>
        </w:rPr>
        <w:t>3、评标委员会综合评定出各投标人的排名顺序。</w:t>
      </w:r>
    </w:p>
    <w:p w14:paraId="428E4597">
      <w:pPr>
        <w:spacing w:line="360" w:lineRule="auto"/>
        <w:ind w:firstLine="482" w:firstLineChars="200"/>
        <w:outlineLvl w:val="0"/>
        <w:rPr>
          <w:rFonts w:hint="eastAsia" w:ascii="宋体" w:hAnsi="宋体" w:cs="宋体"/>
          <w:b/>
          <w:sz w:val="24"/>
          <w:szCs w:val="20"/>
        </w:rPr>
      </w:pPr>
      <w:bookmarkStart w:id="15" w:name="_Toc11048781"/>
      <w:bookmarkStart w:id="16" w:name="_Toc31822"/>
      <w:bookmarkStart w:id="17" w:name="_Toc42098561"/>
      <w:bookmarkStart w:id="18" w:name="_Toc482970518"/>
      <w:bookmarkStart w:id="19" w:name="_Toc33704209"/>
      <w:bookmarkStart w:id="20" w:name="_Toc11048864"/>
      <w:bookmarkStart w:id="21" w:name="_Toc11165694"/>
      <w:bookmarkStart w:id="22" w:name="_Toc483494897"/>
      <w:bookmarkStart w:id="23" w:name="_Toc11077265"/>
      <w:bookmarkStart w:id="24" w:name="_Toc11165377"/>
      <w:r>
        <w:rPr>
          <w:rFonts w:hint="eastAsia" w:ascii="宋体" w:hAnsi="宋体" w:cs="宋体"/>
          <w:b/>
          <w:sz w:val="24"/>
          <w:szCs w:val="20"/>
        </w:rPr>
        <w:t>（二）评标程序</w:t>
      </w:r>
      <w:bookmarkEnd w:id="15"/>
      <w:bookmarkEnd w:id="16"/>
      <w:bookmarkEnd w:id="17"/>
      <w:bookmarkEnd w:id="18"/>
      <w:bookmarkEnd w:id="19"/>
      <w:bookmarkEnd w:id="20"/>
      <w:bookmarkEnd w:id="21"/>
      <w:bookmarkEnd w:id="22"/>
      <w:bookmarkEnd w:id="23"/>
      <w:bookmarkEnd w:id="24"/>
    </w:p>
    <w:p w14:paraId="497D16FC">
      <w:pPr>
        <w:autoSpaceDE w:val="0"/>
        <w:autoSpaceDN w:val="0"/>
        <w:adjustRightInd w:val="0"/>
        <w:spacing w:line="360" w:lineRule="auto"/>
        <w:ind w:firstLine="482" w:firstLineChars="200"/>
        <w:jc w:val="left"/>
        <w:rPr>
          <w:rFonts w:hint="eastAsia" w:ascii="宋体" w:hAnsi="宋体" w:cs="MingLiU"/>
          <w:b/>
          <w:kern w:val="0"/>
          <w:sz w:val="24"/>
          <w:szCs w:val="20"/>
        </w:rPr>
      </w:pPr>
      <w:r>
        <w:rPr>
          <w:rFonts w:hint="eastAsia" w:ascii="宋体" w:hAnsi="宋体" w:cs="MingLiU"/>
          <w:b/>
          <w:kern w:val="0"/>
          <w:sz w:val="24"/>
          <w:szCs w:val="20"/>
        </w:rPr>
        <w:t>1.初步评审</w:t>
      </w:r>
    </w:p>
    <w:p w14:paraId="64978F95">
      <w:pPr>
        <w:autoSpaceDE w:val="0"/>
        <w:autoSpaceDN w:val="0"/>
        <w:adjustRightInd w:val="0"/>
        <w:spacing w:line="360" w:lineRule="auto"/>
        <w:ind w:firstLine="480" w:firstLineChars="200"/>
        <w:jc w:val="left"/>
        <w:rPr>
          <w:rFonts w:hint="eastAsia" w:ascii="宋体" w:hAnsi="宋体" w:cs="MingLiU"/>
          <w:kern w:val="0"/>
          <w:sz w:val="24"/>
          <w:szCs w:val="20"/>
        </w:rPr>
      </w:pPr>
      <w:r>
        <w:rPr>
          <w:rFonts w:hint="eastAsia" w:ascii="宋体" w:hAnsi="宋体" w:cs="MingLiU"/>
          <w:kern w:val="0"/>
          <w:sz w:val="24"/>
          <w:szCs w:val="20"/>
        </w:rPr>
        <w:t>评标委员会首先分别对各投标人的投标文件进行初步评审。</w:t>
      </w:r>
    </w:p>
    <w:p w14:paraId="0DB46859">
      <w:pPr>
        <w:adjustRightInd w:val="0"/>
        <w:snapToGrid w:val="0"/>
        <w:spacing w:line="520" w:lineRule="exact"/>
        <w:ind w:left="462"/>
        <w:rPr>
          <w:rFonts w:hint="eastAsia" w:ascii="宋体" w:hAnsi="宋体"/>
          <w:sz w:val="24"/>
        </w:rPr>
      </w:pPr>
      <w:r>
        <w:rPr>
          <w:rFonts w:hint="eastAsia" w:ascii="宋体" w:hAnsi="宋体"/>
          <w:sz w:val="24"/>
        </w:rPr>
        <w:t>①形式评审</w:t>
      </w: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36"/>
        <w:gridCol w:w="5528"/>
      </w:tblGrid>
      <w:tr w14:paraId="32129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5561E58">
            <w:pPr>
              <w:jc w:val="center"/>
              <w:rPr>
                <w:rFonts w:ascii="宋体" w:hAnsi="宋体"/>
                <w:sz w:val="24"/>
              </w:rPr>
            </w:pPr>
            <w:r>
              <w:rPr>
                <w:rFonts w:hint="eastAsia" w:ascii="宋体" w:hAnsi="宋体"/>
                <w:sz w:val="24"/>
              </w:rPr>
              <w:t>评审因素</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61A99AF">
            <w:pPr>
              <w:jc w:val="center"/>
              <w:rPr>
                <w:rFonts w:ascii="宋体" w:hAnsi="宋体"/>
                <w:sz w:val="24"/>
              </w:rPr>
            </w:pPr>
            <w:r>
              <w:rPr>
                <w:rFonts w:hint="eastAsia" w:ascii="宋体" w:hAnsi="宋体"/>
                <w:sz w:val="24"/>
              </w:rPr>
              <w:t>评审标准</w:t>
            </w:r>
          </w:p>
        </w:tc>
      </w:tr>
      <w:tr w14:paraId="0A17B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2"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7167A18E">
            <w:pPr>
              <w:rPr>
                <w:rFonts w:ascii="宋体" w:hAnsi="宋体"/>
                <w:sz w:val="24"/>
              </w:rPr>
            </w:pPr>
            <w:r>
              <w:rPr>
                <w:rFonts w:ascii="宋体" w:hAnsi="宋体"/>
                <w:sz w:val="24"/>
              </w:rPr>
              <w:t>投标人名称</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9B844BC">
            <w:pPr>
              <w:rPr>
                <w:rFonts w:ascii="宋体" w:hAnsi="宋体"/>
                <w:sz w:val="24"/>
              </w:rPr>
            </w:pPr>
            <w:r>
              <w:rPr>
                <w:rFonts w:ascii="宋体" w:hAnsi="宋体"/>
                <w:sz w:val="24"/>
              </w:rPr>
              <w:t>与营业执照、</w:t>
            </w:r>
            <w:r>
              <w:rPr>
                <w:rFonts w:hint="eastAsia" w:ascii="宋体" w:hAnsi="宋体"/>
                <w:sz w:val="24"/>
              </w:rPr>
              <w:t>安全生产许可证</w:t>
            </w:r>
            <w:r>
              <w:rPr>
                <w:rFonts w:ascii="宋体" w:hAnsi="宋体"/>
                <w:sz w:val="24"/>
              </w:rPr>
              <w:t>一致</w:t>
            </w:r>
          </w:p>
        </w:tc>
      </w:tr>
      <w:tr w14:paraId="2B340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7"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3D7853DD">
            <w:pPr>
              <w:rPr>
                <w:rFonts w:ascii="宋体" w:hAnsi="宋体"/>
                <w:sz w:val="24"/>
              </w:rPr>
            </w:pPr>
            <w:r>
              <w:rPr>
                <w:rFonts w:ascii="宋体" w:hAnsi="宋体"/>
                <w:sz w:val="24"/>
              </w:rPr>
              <w:t>投标函签字盖章</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0069838">
            <w:pPr>
              <w:rPr>
                <w:rFonts w:ascii="宋体" w:hAnsi="宋体"/>
                <w:sz w:val="24"/>
              </w:rPr>
            </w:pPr>
            <w:r>
              <w:rPr>
                <w:rFonts w:ascii="宋体" w:hAnsi="宋体"/>
                <w:sz w:val="24"/>
              </w:rPr>
              <w:t>有法定代表人或其委托代理人签字或盖章</w:t>
            </w:r>
            <w:r>
              <w:rPr>
                <w:rFonts w:hint="eastAsia" w:ascii="宋体" w:hAnsi="宋体"/>
                <w:sz w:val="24"/>
              </w:rPr>
              <w:t>并</w:t>
            </w:r>
            <w:r>
              <w:rPr>
                <w:rFonts w:ascii="宋体" w:hAnsi="宋体"/>
                <w:sz w:val="24"/>
              </w:rPr>
              <w:t>加盖单位章</w:t>
            </w:r>
          </w:p>
        </w:tc>
      </w:tr>
      <w:tr w14:paraId="741A78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7"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0B69E2EE">
            <w:pPr>
              <w:rPr>
                <w:rFonts w:hint="eastAsia" w:ascii="宋体" w:hAnsi="宋体"/>
                <w:sz w:val="24"/>
              </w:rPr>
            </w:pPr>
            <w:r>
              <w:rPr>
                <w:rFonts w:ascii="宋体" w:hAnsi="宋体"/>
                <w:sz w:val="24"/>
              </w:rPr>
              <w:t>报价唯一</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5BBB50B">
            <w:pPr>
              <w:rPr>
                <w:rFonts w:hint="eastAsia" w:ascii="宋体" w:hAnsi="宋体"/>
                <w:sz w:val="24"/>
              </w:rPr>
            </w:pPr>
            <w:r>
              <w:rPr>
                <w:rFonts w:ascii="宋体" w:hAnsi="宋体"/>
                <w:sz w:val="24"/>
              </w:rPr>
              <w:t>只能有一个有效报价</w:t>
            </w:r>
            <w:r>
              <w:rPr>
                <w:rFonts w:hint="eastAsia" w:ascii="宋体" w:hAnsi="宋体"/>
                <w:sz w:val="24"/>
              </w:rPr>
              <w:t>且不超过招标控制价</w:t>
            </w:r>
          </w:p>
        </w:tc>
      </w:tr>
      <w:tr w14:paraId="78A30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37"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6A19974">
            <w:pPr>
              <w:rPr>
                <w:rFonts w:hint="eastAsia" w:ascii="宋体" w:hAnsi="宋体"/>
                <w:sz w:val="24"/>
              </w:rPr>
            </w:pPr>
            <w:r>
              <w:rPr>
                <w:rFonts w:hint="eastAsia" w:ascii="宋体" w:hAnsi="宋体"/>
                <w:sz w:val="24"/>
              </w:rPr>
              <w:t>联合体投标</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9AD46E3">
            <w:pPr>
              <w:rPr>
                <w:rFonts w:hint="eastAsia" w:ascii="宋体" w:hAnsi="宋体"/>
                <w:sz w:val="24"/>
              </w:rPr>
            </w:pPr>
            <w:r>
              <w:rPr>
                <w:rFonts w:hint="eastAsia" w:ascii="宋体" w:hAnsi="宋体"/>
                <w:sz w:val="24"/>
              </w:rPr>
              <w:t>不接受联合体投标</w:t>
            </w:r>
          </w:p>
        </w:tc>
      </w:tr>
    </w:tbl>
    <w:p w14:paraId="163CF946">
      <w:pPr>
        <w:adjustRightInd w:val="0"/>
        <w:snapToGrid w:val="0"/>
        <w:spacing w:line="440" w:lineRule="exact"/>
        <w:ind w:left="462"/>
        <w:rPr>
          <w:rFonts w:hint="eastAsia" w:ascii="宋体" w:hAnsi="宋体"/>
          <w:sz w:val="24"/>
        </w:rPr>
      </w:pPr>
    </w:p>
    <w:p w14:paraId="379442EF">
      <w:pPr>
        <w:adjustRightInd w:val="0"/>
        <w:snapToGrid w:val="0"/>
        <w:spacing w:line="440" w:lineRule="exact"/>
        <w:ind w:left="462"/>
        <w:rPr>
          <w:rFonts w:hint="eastAsia" w:ascii="宋体" w:hAnsi="宋体"/>
          <w:sz w:val="24"/>
        </w:rPr>
      </w:pPr>
      <w:r>
        <w:rPr>
          <w:rFonts w:hint="eastAsia" w:ascii="宋体" w:hAnsi="宋体"/>
          <w:sz w:val="24"/>
        </w:rPr>
        <w:t>②资格评审</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6"/>
        <w:gridCol w:w="5528"/>
      </w:tblGrid>
      <w:tr w14:paraId="5C6F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00F6536D">
            <w:pPr>
              <w:adjustRightInd w:val="0"/>
              <w:snapToGrid w:val="0"/>
              <w:spacing w:line="440" w:lineRule="exact"/>
              <w:jc w:val="center"/>
              <w:rPr>
                <w:rFonts w:ascii="宋体" w:hAnsi="宋体"/>
                <w:sz w:val="24"/>
              </w:rPr>
            </w:pPr>
            <w:r>
              <w:rPr>
                <w:rFonts w:hint="eastAsia" w:ascii="宋体" w:hAnsi="宋体"/>
                <w:sz w:val="24"/>
              </w:rPr>
              <w:t>评标因素</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52D99B2">
            <w:pPr>
              <w:adjustRightInd w:val="0"/>
              <w:snapToGrid w:val="0"/>
              <w:spacing w:line="440" w:lineRule="exact"/>
              <w:jc w:val="center"/>
              <w:rPr>
                <w:rFonts w:ascii="宋体" w:hAnsi="宋体"/>
                <w:sz w:val="24"/>
              </w:rPr>
            </w:pPr>
            <w:r>
              <w:rPr>
                <w:rFonts w:hint="eastAsia" w:ascii="宋体" w:hAnsi="宋体"/>
                <w:sz w:val="24"/>
              </w:rPr>
              <w:t>评审标准</w:t>
            </w:r>
          </w:p>
        </w:tc>
      </w:tr>
      <w:tr w14:paraId="141C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7AB34183">
            <w:pPr>
              <w:rPr>
                <w:rFonts w:hint="eastAsia" w:ascii="宋体" w:hAnsi="宋体"/>
                <w:sz w:val="24"/>
              </w:rPr>
            </w:pPr>
            <w:r>
              <w:rPr>
                <w:rFonts w:ascii="宋体" w:hAnsi="宋体"/>
                <w:sz w:val="24"/>
              </w:rPr>
              <w:t>营业执照</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2525332">
            <w:pPr>
              <w:rPr>
                <w:rFonts w:ascii="宋体" w:hAnsi="宋体"/>
                <w:sz w:val="24"/>
              </w:rPr>
            </w:pPr>
            <w:r>
              <w:rPr>
                <w:rFonts w:ascii="宋体" w:hAnsi="宋体"/>
                <w:sz w:val="24"/>
              </w:rPr>
              <w:t>具</w:t>
            </w:r>
            <w:r>
              <w:rPr>
                <w:rFonts w:hint="eastAsia" w:ascii="宋体" w:hAnsi="宋体"/>
                <w:sz w:val="24"/>
              </w:rPr>
              <w:t>有</w:t>
            </w:r>
            <w:r>
              <w:rPr>
                <w:rFonts w:ascii="宋体" w:hAnsi="宋体"/>
                <w:sz w:val="24"/>
              </w:rPr>
              <w:t>有效的营业执照</w:t>
            </w:r>
          </w:p>
        </w:tc>
      </w:tr>
      <w:tr w14:paraId="1199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09C3D24A">
            <w:pPr>
              <w:jc w:val="left"/>
              <w:rPr>
                <w:rFonts w:ascii="宋体" w:hAnsi="宋体"/>
                <w:sz w:val="24"/>
              </w:rPr>
            </w:pPr>
            <w:r>
              <w:rPr>
                <w:rFonts w:hint="eastAsia" w:ascii="宋体" w:hAnsi="宋体"/>
                <w:sz w:val="24"/>
              </w:rPr>
              <w:t>安全生产许可证</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BAFBAE6">
            <w:pPr>
              <w:jc w:val="left"/>
              <w:rPr>
                <w:rFonts w:ascii="宋体" w:hAnsi="宋体"/>
                <w:sz w:val="24"/>
              </w:rPr>
            </w:pPr>
            <w:r>
              <w:rPr>
                <w:rFonts w:ascii="宋体" w:hAnsi="宋体"/>
                <w:sz w:val="24"/>
              </w:rPr>
              <w:t>具</w:t>
            </w:r>
            <w:r>
              <w:rPr>
                <w:rFonts w:hint="eastAsia" w:ascii="宋体" w:hAnsi="宋体"/>
                <w:sz w:val="24"/>
              </w:rPr>
              <w:t>有</w:t>
            </w:r>
            <w:r>
              <w:rPr>
                <w:rFonts w:ascii="宋体" w:hAnsi="宋体"/>
                <w:sz w:val="24"/>
              </w:rPr>
              <w:t>有效的</w:t>
            </w:r>
            <w:r>
              <w:rPr>
                <w:rFonts w:hint="eastAsia" w:ascii="宋体" w:hAnsi="宋体"/>
                <w:sz w:val="24"/>
              </w:rPr>
              <w:t>安全生产许可证</w:t>
            </w:r>
          </w:p>
        </w:tc>
      </w:tr>
      <w:tr w14:paraId="494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3BC28584">
            <w:pPr>
              <w:rPr>
                <w:rFonts w:ascii="宋体" w:hAnsi="宋体"/>
                <w:sz w:val="24"/>
              </w:rPr>
            </w:pPr>
            <w:r>
              <w:rPr>
                <w:rFonts w:ascii="宋体" w:hAnsi="宋体"/>
                <w:sz w:val="24"/>
              </w:rPr>
              <w:t>资质等级</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1E72B29">
            <w:pPr>
              <w:jc w:val="left"/>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3916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0620CF4">
            <w:pPr>
              <w:rPr>
                <w:rFonts w:ascii="宋体" w:hAnsi="宋体"/>
                <w:sz w:val="24"/>
              </w:rPr>
            </w:pPr>
            <w:r>
              <w:rPr>
                <w:rFonts w:ascii="宋体" w:hAnsi="宋体"/>
                <w:sz w:val="24"/>
              </w:rPr>
              <w:t>项目经理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74F3A227">
            <w:pPr>
              <w:jc w:val="left"/>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2C32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70B6C801">
            <w:pPr>
              <w:rPr>
                <w:rFonts w:ascii="宋体" w:hAnsi="宋体"/>
                <w:sz w:val="24"/>
              </w:rPr>
            </w:pPr>
            <w:r>
              <w:rPr>
                <w:rFonts w:hint="eastAsia" w:ascii="宋体" w:hAnsi="宋体"/>
                <w:sz w:val="24"/>
              </w:rPr>
              <w:t>其他要求</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03B6E9F">
            <w:pPr>
              <w:jc w:val="left"/>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bl>
    <w:p w14:paraId="6C895E3E">
      <w:pPr>
        <w:adjustRightInd w:val="0"/>
        <w:snapToGrid w:val="0"/>
        <w:spacing w:line="440" w:lineRule="exact"/>
        <w:ind w:firstLine="528" w:firstLineChars="220"/>
        <w:rPr>
          <w:rFonts w:hint="eastAsia" w:ascii="宋体" w:hAnsi="宋体"/>
          <w:sz w:val="24"/>
        </w:rPr>
      </w:pPr>
      <w:r>
        <w:rPr>
          <w:rFonts w:hint="eastAsia" w:ascii="宋体" w:hAnsi="宋体"/>
          <w:sz w:val="24"/>
        </w:rPr>
        <w:t>③响应性评审</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6"/>
        <w:gridCol w:w="5528"/>
      </w:tblGrid>
      <w:tr w14:paraId="7118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DA0911D">
            <w:pPr>
              <w:adjustRightInd w:val="0"/>
              <w:snapToGrid w:val="0"/>
              <w:spacing w:line="440" w:lineRule="exact"/>
              <w:jc w:val="center"/>
              <w:rPr>
                <w:rFonts w:ascii="宋体" w:hAnsi="宋体"/>
                <w:sz w:val="24"/>
              </w:rPr>
            </w:pPr>
            <w:r>
              <w:rPr>
                <w:rFonts w:hint="eastAsia" w:ascii="宋体" w:hAnsi="宋体"/>
                <w:sz w:val="24"/>
              </w:rPr>
              <w:t>评标因素</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53577CC">
            <w:pPr>
              <w:adjustRightInd w:val="0"/>
              <w:snapToGrid w:val="0"/>
              <w:spacing w:line="440" w:lineRule="exact"/>
              <w:jc w:val="center"/>
              <w:rPr>
                <w:rFonts w:ascii="宋体" w:hAnsi="宋体"/>
                <w:sz w:val="24"/>
              </w:rPr>
            </w:pPr>
            <w:r>
              <w:rPr>
                <w:rFonts w:hint="eastAsia" w:ascii="宋体" w:hAnsi="宋体"/>
                <w:sz w:val="24"/>
              </w:rPr>
              <w:t>评审标准</w:t>
            </w:r>
          </w:p>
        </w:tc>
      </w:tr>
      <w:tr w14:paraId="27EC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78DDCD05">
            <w:pPr>
              <w:adjustRightInd w:val="0"/>
              <w:snapToGrid w:val="0"/>
              <w:spacing w:line="440" w:lineRule="exact"/>
              <w:rPr>
                <w:rFonts w:hint="eastAsia" w:ascii="宋体" w:hAnsi="宋体"/>
                <w:sz w:val="24"/>
              </w:rPr>
            </w:pPr>
            <w:r>
              <w:rPr>
                <w:rFonts w:hint="eastAsia" w:ascii="宋体" w:hAnsi="宋体"/>
                <w:sz w:val="24"/>
              </w:rPr>
              <w:t>投标报价</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130C9219">
            <w:pPr>
              <w:adjustRightInd w:val="0"/>
              <w:snapToGrid w:val="0"/>
              <w:spacing w:line="440" w:lineRule="exact"/>
              <w:rPr>
                <w:rFonts w:hint="eastAsia"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005C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F07E90E">
            <w:pPr>
              <w:rPr>
                <w:rFonts w:ascii="宋体" w:hAnsi="宋体"/>
                <w:sz w:val="24"/>
              </w:rPr>
            </w:pPr>
            <w:r>
              <w:rPr>
                <w:rFonts w:ascii="宋体" w:hAnsi="宋体"/>
                <w:sz w:val="24"/>
              </w:rPr>
              <w:t>投标内容</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D8D4BD2">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689B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51BC32D1">
            <w:pPr>
              <w:rPr>
                <w:rFonts w:ascii="宋体" w:hAnsi="宋体"/>
                <w:sz w:val="24"/>
              </w:rPr>
            </w:pPr>
            <w:r>
              <w:rPr>
                <w:rFonts w:ascii="宋体" w:hAnsi="宋体"/>
                <w:sz w:val="24"/>
              </w:rPr>
              <w:t>工期</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70E908A6">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4543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6513DA1F">
            <w:pPr>
              <w:rPr>
                <w:rFonts w:ascii="宋体" w:hAnsi="宋体"/>
                <w:sz w:val="24"/>
              </w:rPr>
            </w:pPr>
            <w:r>
              <w:rPr>
                <w:rFonts w:ascii="宋体" w:hAnsi="宋体"/>
                <w:sz w:val="24"/>
              </w:rPr>
              <w:t>工程质量</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9F323C5">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62CE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1BE20CA0">
            <w:pPr>
              <w:rPr>
                <w:rFonts w:ascii="宋体" w:hAnsi="宋体"/>
                <w:sz w:val="24"/>
              </w:rPr>
            </w:pPr>
            <w:r>
              <w:rPr>
                <w:rFonts w:hint="eastAsia" w:ascii="宋体" w:hAnsi="宋体"/>
                <w:sz w:val="24"/>
              </w:rPr>
              <w:t>付款方式</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6403A76">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378E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7B6CE805">
            <w:pPr>
              <w:rPr>
                <w:rFonts w:hint="eastAsia" w:ascii="宋体" w:hAnsi="宋体"/>
                <w:sz w:val="24"/>
              </w:rPr>
            </w:pPr>
            <w:r>
              <w:rPr>
                <w:rFonts w:hint="eastAsia" w:ascii="宋体" w:hAnsi="宋体"/>
                <w:sz w:val="24"/>
              </w:rPr>
              <w:t>履约保证金</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DCB46A8">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2813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3132E41A">
            <w:pPr>
              <w:rPr>
                <w:rFonts w:ascii="宋体" w:hAnsi="宋体"/>
                <w:sz w:val="24"/>
              </w:rPr>
            </w:pPr>
            <w:r>
              <w:rPr>
                <w:rFonts w:hint="eastAsia" w:ascii="宋体" w:hAnsi="宋体"/>
                <w:sz w:val="24"/>
              </w:rPr>
              <w:t>免费质保期</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1A69BFE">
            <w:pPr>
              <w:rPr>
                <w:rFonts w:ascii="宋体" w:hAnsi="宋体"/>
                <w:sz w:val="24"/>
              </w:rPr>
            </w:pPr>
            <w:r>
              <w:rPr>
                <w:rFonts w:ascii="宋体" w:hAnsi="宋体"/>
                <w:sz w:val="24"/>
              </w:rPr>
              <w:t>符合</w:t>
            </w:r>
            <w:r>
              <w:rPr>
                <w:rFonts w:hint="eastAsia" w:ascii="宋体" w:hAnsi="宋体"/>
                <w:sz w:val="24"/>
              </w:rPr>
              <w:t>招标文件</w:t>
            </w:r>
            <w:r>
              <w:rPr>
                <w:rFonts w:ascii="宋体" w:hAnsi="宋体"/>
                <w:sz w:val="24"/>
              </w:rPr>
              <w:t>规定</w:t>
            </w:r>
          </w:p>
        </w:tc>
      </w:tr>
      <w:tr w14:paraId="22F1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36" w:type="dxa"/>
            <w:tcBorders>
              <w:top w:val="single" w:color="auto" w:sz="4" w:space="0"/>
              <w:left w:val="single" w:color="auto" w:sz="4" w:space="0"/>
              <w:bottom w:val="single" w:color="auto" w:sz="4" w:space="0"/>
              <w:right w:val="single" w:color="auto" w:sz="4" w:space="0"/>
            </w:tcBorders>
            <w:noWrap w:val="0"/>
            <w:vAlign w:val="center"/>
          </w:tcPr>
          <w:p w14:paraId="4828C099">
            <w:pPr>
              <w:rPr>
                <w:rFonts w:hint="eastAsia" w:ascii="宋体" w:hAnsi="宋体"/>
                <w:sz w:val="24"/>
              </w:rPr>
            </w:pPr>
            <w:r>
              <w:rPr>
                <w:rFonts w:hint="eastAsia" w:ascii="宋体" w:hAnsi="宋体"/>
                <w:sz w:val="24"/>
              </w:rPr>
              <w:t>其它</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0CE60F1">
            <w:pPr>
              <w:adjustRightInd w:val="0"/>
              <w:snapToGrid w:val="0"/>
              <w:jc w:val="left"/>
              <w:rPr>
                <w:rFonts w:ascii="宋体" w:hAnsi="宋体"/>
                <w:sz w:val="24"/>
              </w:rPr>
            </w:pPr>
            <w:r>
              <w:rPr>
                <w:rFonts w:hint="eastAsia" w:ascii="宋体" w:hAnsi="宋体"/>
                <w:sz w:val="24"/>
              </w:rPr>
              <w:t>1.投标文件附有招标人不能接受的条件；</w:t>
            </w:r>
          </w:p>
          <w:p w14:paraId="338F7ED4">
            <w:pPr>
              <w:adjustRightInd w:val="0"/>
              <w:snapToGrid w:val="0"/>
              <w:jc w:val="left"/>
              <w:rPr>
                <w:rFonts w:ascii="宋体" w:hAnsi="宋体"/>
                <w:sz w:val="24"/>
              </w:rPr>
            </w:pPr>
            <w:r>
              <w:rPr>
                <w:rFonts w:hint="eastAsia" w:ascii="宋体" w:hAnsi="宋体"/>
                <w:sz w:val="24"/>
              </w:rPr>
              <w:t>2.不符合招标文件中规定的其它实质性要求；</w:t>
            </w:r>
          </w:p>
          <w:p w14:paraId="128A81AE">
            <w:pPr>
              <w:rPr>
                <w:rFonts w:hint="eastAsia" w:ascii="宋体" w:hAnsi="宋体"/>
                <w:sz w:val="24"/>
              </w:rPr>
            </w:pPr>
            <w:r>
              <w:rPr>
                <w:rFonts w:hint="eastAsia" w:ascii="宋体" w:hAnsi="宋体"/>
                <w:sz w:val="24"/>
              </w:rPr>
              <w:t>3.不符合其他法律、法规规定的。</w:t>
            </w:r>
          </w:p>
        </w:tc>
      </w:tr>
    </w:tbl>
    <w:p w14:paraId="63C505DE">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b/>
          <w:sz w:val="24"/>
          <w:szCs w:val="20"/>
        </w:rPr>
      </w:pPr>
      <w:r>
        <w:rPr>
          <w:rFonts w:hint="eastAsia" w:ascii="宋体" w:hAnsi="宋体"/>
          <w:b/>
          <w:sz w:val="24"/>
          <w:szCs w:val="20"/>
        </w:rPr>
        <w:t>备注：</w:t>
      </w:r>
      <w:r>
        <w:rPr>
          <w:rFonts w:ascii="宋体" w:hAnsi="宋体"/>
          <w:sz w:val="24"/>
          <w:szCs w:val="20"/>
        </w:rPr>
        <w:t>投标人应按照</w:t>
      </w:r>
      <w:r>
        <w:rPr>
          <w:rFonts w:hint="eastAsia" w:ascii="宋体" w:hAnsi="宋体"/>
          <w:sz w:val="24"/>
          <w:szCs w:val="20"/>
        </w:rPr>
        <w:t>上述初步评审的</w:t>
      </w:r>
      <w:r>
        <w:rPr>
          <w:rFonts w:ascii="宋体" w:hAnsi="宋体"/>
          <w:sz w:val="24"/>
          <w:szCs w:val="20"/>
        </w:rPr>
        <w:t>要求提供审查资料</w:t>
      </w:r>
      <w:r>
        <w:rPr>
          <w:rFonts w:hint="eastAsia" w:ascii="宋体" w:hAnsi="宋体"/>
          <w:sz w:val="24"/>
          <w:szCs w:val="20"/>
        </w:rPr>
        <w:t>（相关材料的扫描件）</w:t>
      </w:r>
      <w:r>
        <w:rPr>
          <w:rFonts w:ascii="宋体" w:hAnsi="宋体"/>
          <w:sz w:val="24"/>
          <w:szCs w:val="20"/>
        </w:rPr>
        <w:t>，并将审查资料</w:t>
      </w:r>
      <w:r>
        <w:rPr>
          <w:rFonts w:hint="eastAsia" w:ascii="宋体" w:hAnsi="宋体"/>
          <w:sz w:val="24"/>
          <w:szCs w:val="20"/>
        </w:rPr>
        <w:t>（相关材料的扫描件）放入</w:t>
      </w:r>
      <w:r>
        <w:rPr>
          <w:rFonts w:ascii="宋体" w:hAnsi="宋体"/>
          <w:sz w:val="24"/>
          <w:szCs w:val="20"/>
        </w:rPr>
        <w:t>投标文件中，评标委员会将仅对投标文件中的内容进行评审。</w:t>
      </w:r>
      <w:r>
        <w:rPr>
          <w:rFonts w:hint="eastAsia" w:ascii="宋体" w:hAnsi="宋体"/>
          <w:sz w:val="24"/>
          <w:szCs w:val="20"/>
        </w:rPr>
        <w:t>投标文件不符合以上评审标准之一的，按无效标处理。</w:t>
      </w:r>
    </w:p>
    <w:p w14:paraId="72A766AF">
      <w:pPr>
        <w:spacing w:line="360" w:lineRule="auto"/>
        <w:rPr>
          <w:rFonts w:hint="eastAsia" w:ascii="宋体" w:hAnsi="宋体"/>
          <w:b/>
          <w:sz w:val="24"/>
          <w:szCs w:val="20"/>
        </w:rPr>
      </w:pPr>
    </w:p>
    <w:p w14:paraId="59829376">
      <w:pPr>
        <w:pStyle w:val="2"/>
        <w:rPr>
          <w:rFonts w:hint="eastAsia"/>
        </w:rPr>
      </w:pPr>
    </w:p>
    <w:p w14:paraId="1539BC99">
      <w:pPr>
        <w:spacing w:line="360" w:lineRule="auto"/>
        <w:rPr>
          <w:rFonts w:ascii="宋体" w:hAnsi="宋体"/>
          <w:b/>
          <w:sz w:val="24"/>
          <w:szCs w:val="20"/>
        </w:rPr>
      </w:pPr>
      <w:r>
        <w:rPr>
          <w:rFonts w:hint="eastAsia" w:ascii="宋体" w:hAnsi="宋体"/>
          <w:b/>
          <w:sz w:val="24"/>
          <w:szCs w:val="20"/>
        </w:rPr>
        <w:t>2、综合评审（65分）</w:t>
      </w:r>
    </w:p>
    <w:p w14:paraId="150B8C70">
      <w:pPr>
        <w:spacing w:line="360" w:lineRule="auto"/>
        <w:ind w:firstLine="480" w:firstLineChars="200"/>
        <w:rPr>
          <w:rFonts w:ascii="宋体" w:hAnsi="宋体"/>
          <w:b/>
          <w:sz w:val="24"/>
          <w:szCs w:val="20"/>
        </w:rPr>
      </w:pPr>
      <w:r>
        <w:rPr>
          <w:rFonts w:hint="eastAsia" w:ascii="宋体" w:hAnsi="宋体"/>
          <w:sz w:val="24"/>
          <w:szCs w:val="20"/>
        </w:rPr>
        <w:t>通过初步评审的投标文件，进入详细评审。</w:t>
      </w:r>
    </w:p>
    <w:p w14:paraId="23FC8A2E">
      <w:pPr>
        <w:spacing w:line="360" w:lineRule="auto"/>
        <w:ind w:firstLine="480" w:firstLineChars="200"/>
        <w:rPr>
          <w:rFonts w:hint="eastAsia" w:ascii="宋体" w:hAnsi="宋体"/>
          <w:sz w:val="24"/>
          <w:szCs w:val="20"/>
        </w:rPr>
      </w:pPr>
      <w:r>
        <w:rPr>
          <w:rFonts w:hint="eastAsia" w:ascii="宋体" w:hAnsi="宋体"/>
          <w:sz w:val="24"/>
          <w:szCs w:val="20"/>
        </w:rPr>
        <w:t>详细评审得分的计算：对某投标人而言，所有评委的评分算术平均值即为该投标人详细评审得分（四舍五入后保留两位小数）。</w:t>
      </w:r>
    </w:p>
    <w:tbl>
      <w:tblPr>
        <w:tblStyle w:val="10"/>
        <w:tblW w:w="0" w:type="auto"/>
        <w:tblInd w:w="-62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0"/>
        <w:gridCol w:w="1215"/>
        <w:gridCol w:w="4035"/>
        <w:gridCol w:w="1185"/>
        <w:gridCol w:w="510"/>
        <w:gridCol w:w="555"/>
        <w:gridCol w:w="540"/>
        <w:gridCol w:w="540"/>
        <w:gridCol w:w="540"/>
        <w:gridCol w:w="555"/>
      </w:tblGrid>
      <w:tr w14:paraId="55436E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blHeader/>
        </w:trPr>
        <w:tc>
          <w:tcPr>
            <w:tcW w:w="660" w:type="dxa"/>
            <w:vMerge w:val="restart"/>
            <w:tcBorders>
              <w:top w:val="single" w:color="auto" w:sz="4" w:space="0"/>
              <w:left w:val="single" w:color="auto" w:sz="4" w:space="0"/>
              <w:right w:val="single" w:color="auto" w:sz="4" w:space="0"/>
            </w:tcBorders>
            <w:noWrap w:val="0"/>
            <w:vAlign w:val="center"/>
          </w:tcPr>
          <w:p w14:paraId="03CF1D2A">
            <w:pPr>
              <w:spacing w:line="0" w:lineRule="atLeast"/>
              <w:jc w:val="center"/>
              <w:rPr>
                <w:rFonts w:hint="eastAsia" w:ascii="宋体" w:hAnsi="宋体"/>
                <w:bCs/>
                <w:sz w:val="24"/>
              </w:rPr>
            </w:pPr>
            <w:r>
              <w:rPr>
                <w:rFonts w:hint="eastAsia" w:ascii="宋体" w:hAnsi="宋体"/>
                <w:bCs/>
                <w:sz w:val="24"/>
              </w:rPr>
              <w:t>序号</w:t>
            </w:r>
          </w:p>
        </w:tc>
        <w:tc>
          <w:tcPr>
            <w:tcW w:w="1215" w:type="dxa"/>
            <w:vMerge w:val="restart"/>
            <w:tcBorders>
              <w:top w:val="single" w:color="auto" w:sz="4" w:space="0"/>
              <w:left w:val="single" w:color="auto" w:sz="4" w:space="0"/>
              <w:right w:val="single" w:color="auto" w:sz="4" w:space="0"/>
            </w:tcBorders>
            <w:noWrap w:val="0"/>
            <w:vAlign w:val="center"/>
          </w:tcPr>
          <w:p w14:paraId="31AC9ED8">
            <w:pPr>
              <w:spacing w:line="0" w:lineRule="atLeast"/>
              <w:jc w:val="center"/>
              <w:rPr>
                <w:rFonts w:ascii="宋体" w:hAnsi="宋体"/>
                <w:bCs/>
                <w:sz w:val="24"/>
              </w:rPr>
            </w:pPr>
            <w:r>
              <w:rPr>
                <w:rFonts w:hint="eastAsia" w:ascii="宋体" w:hAnsi="宋体"/>
                <w:bCs/>
                <w:sz w:val="24"/>
              </w:rPr>
              <w:t>评审指标</w:t>
            </w:r>
          </w:p>
        </w:tc>
        <w:tc>
          <w:tcPr>
            <w:tcW w:w="4035" w:type="dxa"/>
            <w:vMerge w:val="restart"/>
            <w:tcBorders>
              <w:top w:val="single" w:color="auto" w:sz="4" w:space="0"/>
              <w:left w:val="single" w:color="auto" w:sz="4" w:space="0"/>
              <w:right w:val="single" w:color="auto" w:sz="4" w:space="0"/>
            </w:tcBorders>
            <w:noWrap w:val="0"/>
            <w:vAlign w:val="center"/>
          </w:tcPr>
          <w:p w14:paraId="50C9F07A">
            <w:pPr>
              <w:spacing w:line="0" w:lineRule="atLeast"/>
              <w:jc w:val="center"/>
              <w:rPr>
                <w:rFonts w:ascii="宋体" w:hAnsi="宋体"/>
                <w:bCs/>
                <w:sz w:val="24"/>
              </w:rPr>
            </w:pPr>
            <w:r>
              <w:rPr>
                <w:rFonts w:hint="eastAsia" w:ascii="宋体" w:hAnsi="宋体"/>
                <w:bCs/>
                <w:sz w:val="24"/>
              </w:rPr>
              <w:t>指标描述</w:t>
            </w:r>
          </w:p>
        </w:tc>
        <w:tc>
          <w:tcPr>
            <w:tcW w:w="1185" w:type="dxa"/>
            <w:vMerge w:val="restart"/>
            <w:tcBorders>
              <w:top w:val="single" w:color="auto" w:sz="4" w:space="0"/>
              <w:left w:val="single" w:color="auto" w:sz="4" w:space="0"/>
              <w:right w:val="single" w:color="auto" w:sz="4" w:space="0"/>
            </w:tcBorders>
            <w:noWrap w:val="0"/>
            <w:vAlign w:val="center"/>
          </w:tcPr>
          <w:p w14:paraId="49E91CEC">
            <w:pPr>
              <w:spacing w:line="0" w:lineRule="atLeast"/>
              <w:jc w:val="center"/>
              <w:rPr>
                <w:rFonts w:ascii="宋体" w:hAnsi="宋体"/>
                <w:bCs/>
                <w:sz w:val="24"/>
              </w:rPr>
            </w:pPr>
            <w:r>
              <w:rPr>
                <w:rFonts w:hint="eastAsia" w:ascii="宋体" w:hAnsi="宋体"/>
                <w:bCs/>
                <w:sz w:val="24"/>
              </w:rPr>
              <w:t>分值范围</w:t>
            </w:r>
          </w:p>
        </w:tc>
        <w:tc>
          <w:tcPr>
            <w:tcW w:w="3240" w:type="dxa"/>
            <w:gridSpan w:val="6"/>
            <w:tcBorders>
              <w:top w:val="single" w:color="auto" w:sz="4" w:space="0"/>
              <w:left w:val="single" w:color="auto" w:sz="4" w:space="0"/>
              <w:bottom w:val="single" w:color="auto" w:sz="4" w:space="0"/>
              <w:right w:val="single" w:color="auto" w:sz="4" w:space="0"/>
            </w:tcBorders>
            <w:noWrap w:val="0"/>
            <w:vAlign w:val="center"/>
          </w:tcPr>
          <w:p w14:paraId="20AD71A1">
            <w:pPr>
              <w:spacing w:line="0" w:lineRule="atLeast"/>
              <w:jc w:val="center"/>
              <w:rPr>
                <w:rFonts w:hint="eastAsia" w:ascii="宋体" w:hAnsi="宋体"/>
                <w:bCs/>
                <w:sz w:val="24"/>
              </w:rPr>
            </w:pPr>
            <w:r>
              <w:rPr>
                <w:rFonts w:hint="eastAsia" w:ascii="宋体" w:hAnsi="宋体"/>
                <w:bCs/>
                <w:sz w:val="24"/>
              </w:rPr>
              <w:t>投标单位综合得分</w:t>
            </w:r>
          </w:p>
        </w:tc>
      </w:tr>
      <w:tr w14:paraId="66D396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tblHeader/>
        </w:trPr>
        <w:tc>
          <w:tcPr>
            <w:tcW w:w="660" w:type="dxa"/>
            <w:vMerge w:val="continue"/>
            <w:tcBorders>
              <w:left w:val="single" w:color="auto" w:sz="4" w:space="0"/>
              <w:bottom w:val="single" w:color="auto" w:sz="4" w:space="0"/>
              <w:right w:val="single" w:color="auto" w:sz="4" w:space="0"/>
            </w:tcBorders>
            <w:noWrap w:val="0"/>
            <w:vAlign w:val="center"/>
          </w:tcPr>
          <w:p w14:paraId="0B5F2DC0">
            <w:pPr>
              <w:spacing w:line="0" w:lineRule="atLeast"/>
              <w:jc w:val="center"/>
              <w:rPr>
                <w:rFonts w:hint="eastAsia" w:ascii="宋体" w:hAnsi="宋体"/>
                <w:bCs/>
                <w:sz w:val="24"/>
              </w:rPr>
            </w:pPr>
          </w:p>
        </w:tc>
        <w:tc>
          <w:tcPr>
            <w:tcW w:w="1215" w:type="dxa"/>
            <w:vMerge w:val="continue"/>
            <w:tcBorders>
              <w:left w:val="single" w:color="auto" w:sz="4" w:space="0"/>
              <w:bottom w:val="single" w:color="auto" w:sz="4" w:space="0"/>
              <w:right w:val="single" w:color="auto" w:sz="4" w:space="0"/>
            </w:tcBorders>
            <w:noWrap w:val="0"/>
            <w:vAlign w:val="center"/>
          </w:tcPr>
          <w:p w14:paraId="55CB6F37">
            <w:pPr>
              <w:spacing w:line="0" w:lineRule="atLeast"/>
              <w:jc w:val="center"/>
              <w:rPr>
                <w:rFonts w:hint="eastAsia" w:ascii="宋体" w:hAnsi="宋体"/>
                <w:bCs/>
                <w:sz w:val="24"/>
              </w:rPr>
            </w:pPr>
          </w:p>
        </w:tc>
        <w:tc>
          <w:tcPr>
            <w:tcW w:w="4035" w:type="dxa"/>
            <w:vMerge w:val="continue"/>
            <w:tcBorders>
              <w:left w:val="single" w:color="auto" w:sz="4" w:space="0"/>
              <w:bottom w:val="single" w:color="auto" w:sz="4" w:space="0"/>
              <w:right w:val="single" w:color="auto" w:sz="4" w:space="0"/>
            </w:tcBorders>
            <w:noWrap w:val="0"/>
            <w:vAlign w:val="center"/>
          </w:tcPr>
          <w:p w14:paraId="568C9FFF">
            <w:pPr>
              <w:spacing w:line="0" w:lineRule="atLeast"/>
              <w:jc w:val="center"/>
              <w:rPr>
                <w:rFonts w:hint="eastAsia" w:ascii="宋体" w:hAnsi="宋体"/>
                <w:bCs/>
                <w:sz w:val="24"/>
              </w:rPr>
            </w:pPr>
          </w:p>
        </w:tc>
        <w:tc>
          <w:tcPr>
            <w:tcW w:w="1185" w:type="dxa"/>
            <w:vMerge w:val="continue"/>
            <w:tcBorders>
              <w:left w:val="single" w:color="auto" w:sz="4" w:space="0"/>
              <w:bottom w:val="single" w:color="auto" w:sz="4" w:space="0"/>
              <w:right w:val="single" w:color="auto" w:sz="4" w:space="0"/>
            </w:tcBorders>
            <w:noWrap w:val="0"/>
            <w:vAlign w:val="center"/>
          </w:tcPr>
          <w:p w14:paraId="60BDB71B">
            <w:pPr>
              <w:spacing w:line="0" w:lineRule="atLeast"/>
              <w:jc w:val="center"/>
              <w:rPr>
                <w:rFonts w:hint="eastAsia" w:ascii="宋体" w:hAnsi="宋体"/>
                <w:bCs/>
                <w:sz w:val="24"/>
              </w:rPr>
            </w:pPr>
          </w:p>
        </w:tc>
        <w:tc>
          <w:tcPr>
            <w:tcW w:w="510" w:type="dxa"/>
            <w:tcBorders>
              <w:top w:val="single" w:color="auto" w:sz="4" w:space="0"/>
              <w:left w:val="single" w:color="auto" w:sz="4" w:space="0"/>
              <w:bottom w:val="single" w:color="auto" w:sz="4" w:space="0"/>
              <w:right w:val="single" w:color="auto" w:sz="4" w:space="0"/>
            </w:tcBorders>
            <w:noWrap w:val="0"/>
            <w:vAlign w:val="center"/>
          </w:tcPr>
          <w:p w14:paraId="03EDB085">
            <w:pPr>
              <w:spacing w:line="0" w:lineRule="atLeast"/>
              <w:jc w:val="center"/>
              <w:rPr>
                <w:rFonts w:ascii="宋体" w:hAnsi="宋体"/>
                <w:bCs/>
                <w:sz w:val="24"/>
              </w:rPr>
            </w:pPr>
            <w:r>
              <w:rPr>
                <w:rFonts w:hint="eastAsia" w:ascii="宋体" w:hAnsi="宋体"/>
                <w:bCs/>
                <w:sz w:val="24"/>
              </w:rPr>
              <w:t>01</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10ED6AEA">
            <w:pPr>
              <w:spacing w:line="0" w:lineRule="atLeast"/>
              <w:jc w:val="center"/>
              <w:rPr>
                <w:rFonts w:ascii="宋体" w:hAnsi="宋体"/>
                <w:bCs/>
                <w:sz w:val="24"/>
              </w:rPr>
            </w:pPr>
            <w:r>
              <w:rPr>
                <w:rFonts w:hint="eastAsia" w:ascii="宋体" w:hAnsi="宋体"/>
                <w:bCs/>
                <w:sz w:val="24"/>
              </w:rPr>
              <w:t>02</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47687301">
            <w:pPr>
              <w:spacing w:line="0" w:lineRule="atLeast"/>
              <w:jc w:val="center"/>
              <w:rPr>
                <w:rFonts w:ascii="宋体" w:hAnsi="宋体"/>
                <w:bCs/>
                <w:sz w:val="24"/>
              </w:rPr>
            </w:pPr>
            <w:r>
              <w:rPr>
                <w:rFonts w:hint="eastAsia" w:ascii="宋体" w:hAnsi="宋体"/>
                <w:bCs/>
                <w:sz w:val="24"/>
              </w:rPr>
              <w:t>03</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4EE7F0C9">
            <w:pPr>
              <w:spacing w:line="0" w:lineRule="atLeast"/>
              <w:jc w:val="center"/>
              <w:rPr>
                <w:rFonts w:ascii="宋体" w:hAnsi="宋体"/>
                <w:bCs/>
                <w:sz w:val="24"/>
              </w:rPr>
            </w:pPr>
            <w:r>
              <w:rPr>
                <w:rFonts w:hint="eastAsia" w:ascii="宋体" w:hAnsi="宋体"/>
                <w:bCs/>
                <w:sz w:val="24"/>
              </w:rPr>
              <w:t>04</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412F1E1E">
            <w:pPr>
              <w:spacing w:line="0" w:lineRule="atLeast"/>
              <w:jc w:val="center"/>
              <w:rPr>
                <w:rFonts w:ascii="宋体" w:hAnsi="宋体"/>
                <w:bCs/>
                <w:sz w:val="24"/>
              </w:rPr>
            </w:pPr>
            <w:r>
              <w:rPr>
                <w:rFonts w:hint="eastAsia" w:ascii="宋体" w:hAnsi="宋体"/>
                <w:bCs/>
                <w:sz w:val="24"/>
              </w:rPr>
              <w:t>05</w:t>
            </w:r>
          </w:p>
        </w:tc>
        <w:tc>
          <w:tcPr>
            <w:tcW w:w="555" w:type="dxa"/>
            <w:tcBorders>
              <w:top w:val="single" w:color="auto" w:sz="4" w:space="0"/>
              <w:left w:val="single" w:color="auto" w:sz="4" w:space="0"/>
              <w:bottom w:val="single" w:color="auto" w:sz="4" w:space="0"/>
              <w:right w:val="single" w:color="auto" w:sz="4" w:space="0"/>
            </w:tcBorders>
            <w:noWrap w:val="0"/>
            <w:vAlign w:val="center"/>
          </w:tcPr>
          <w:p w14:paraId="416F48D8">
            <w:pPr>
              <w:spacing w:line="0" w:lineRule="atLeast"/>
              <w:jc w:val="center"/>
              <w:rPr>
                <w:rFonts w:ascii="宋体" w:hAnsi="宋体"/>
                <w:bCs/>
                <w:sz w:val="24"/>
              </w:rPr>
            </w:pPr>
            <w:r>
              <w:rPr>
                <w:rFonts w:hint="eastAsia" w:ascii="宋体" w:hAnsi="宋体"/>
                <w:bCs/>
                <w:sz w:val="24"/>
              </w:rPr>
              <w:t>06</w:t>
            </w:r>
          </w:p>
        </w:tc>
      </w:tr>
      <w:tr w14:paraId="0B1275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23"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2900A8FD">
            <w:pPr>
              <w:spacing w:line="0" w:lineRule="atLeast"/>
              <w:jc w:val="center"/>
              <w:rPr>
                <w:rFonts w:hint="eastAsia" w:ascii="宋体" w:hAnsi="宋体"/>
                <w:sz w:val="24"/>
              </w:rPr>
            </w:pPr>
            <w:r>
              <w:rPr>
                <w:rFonts w:hint="eastAsia" w:ascii="宋体" w:hAnsi="宋体"/>
                <w:sz w:val="24"/>
              </w:rPr>
              <w:t>1</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0283260">
            <w:pPr>
              <w:jc w:val="center"/>
              <w:rPr>
                <w:rFonts w:hint="eastAsia" w:ascii="宋体" w:hAnsi="宋体"/>
                <w:sz w:val="24"/>
              </w:rPr>
            </w:pPr>
            <w:r>
              <w:rPr>
                <w:rFonts w:hint="eastAsia" w:ascii="宋体" w:hAnsi="宋体"/>
                <w:sz w:val="24"/>
              </w:rPr>
              <w:t>企业业绩</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19EB1241">
            <w:pPr>
              <w:rPr>
                <w:rFonts w:hint="eastAsia" w:ascii="宋体" w:hAnsi="宋体"/>
                <w:szCs w:val="21"/>
                <w:lang w:val="zh-CN"/>
              </w:rPr>
            </w:pPr>
            <w:r>
              <w:rPr>
                <w:rFonts w:hint="eastAsia" w:ascii="宋体" w:hAnsi="宋体"/>
                <w:szCs w:val="21"/>
                <w:lang w:val="zh-CN"/>
              </w:rPr>
              <w:t>投标人近三年（自20</w:t>
            </w:r>
            <w:r>
              <w:rPr>
                <w:rFonts w:hint="eastAsia" w:ascii="宋体" w:hAnsi="宋体"/>
                <w:szCs w:val="21"/>
              </w:rPr>
              <w:t>2</w:t>
            </w:r>
            <w:r>
              <w:rPr>
                <w:rFonts w:hint="eastAsia" w:ascii="宋体" w:hAnsi="宋体"/>
                <w:szCs w:val="21"/>
                <w:lang w:val="en-US" w:eastAsia="zh-CN"/>
              </w:rPr>
              <w:t>3</w:t>
            </w:r>
            <w:r>
              <w:rPr>
                <w:rFonts w:hint="eastAsia" w:ascii="宋体" w:hAnsi="宋体"/>
                <w:szCs w:val="21"/>
                <w:lang w:val="zh-CN"/>
              </w:rPr>
              <w:t>年</w:t>
            </w:r>
            <w:r>
              <w:rPr>
                <w:rFonts w:hint="eastAsia" w:ascii="宋体" w:hAnsi="宋体"/>
                <w:szCs w:val="21"/>
                <w:lang w:val="en-US" w:eastAsia="zh-CN"/>
              </w:rPr>
              <w:t>1</w:t>
            </w:r>
            <w:r>
              <w:rPr>
                <w:rFonts w:hint="eastAsia" w:ascii="宋体" w:hAnsi="宋体"/>
                <w:szCs w:val="21"/>
                <w:lang w:val="zh-CN"/>
              </w:rPr>
              <w:t>月1日起至今，下同）承担类似</w:t>
            </w:r>
            <w:r>
              <w:rPr>
                <w:rFonts w:hint="eastAsia" w:ascii="宋体" w:hAnsi="宋体"/>
                <w:szCs w:val="21"/>
              </w:rPr>
              <w:t>建筑</w:t>
            </w:r>
            <w:r>
              <w:rPr>
                <w:rFonts w:hint="eastAsia" w:ascii="宋体" w:hAnsi="宋体"/>
                <w:szCs w:val="21"/>
                <w:lang w:val="zh-CN"/>
              </w:rPr>
              <w:t>工程</w:t>
            </w:r>
            <w:r>
              <w:rPr>
                <w:rFonts w:hint="eastAsia" w:ascii="宋体" w:hAnsi="宋体"/>
                <w:szCs w:val="21"/>
              </w:rPr>
              <w:t>施工或劳务</w:t>
            </w:r>
            <w:r>
              <w:rPr>
                <w:rFonts w:hint="eastAsia" w:ascii="宋体" w:hAnsi="宋体"/>
                <w:szCs w:val="21"/>
                <w:lang w:val="zh-CN"/>
              </w:rPr>
              <w:t>（系指其单项合同金额不少于</w:t>
            </w:r>
            <w:r>
              <w:rPr>
                <w:rFonts w:hint="eastAsia" w:ascii="宋体" w:hAnsi="宋体"/>
                <w:szCs w:val="21"/>
                <w:lang w:val="en-US" w:eastAsia="zh-CN"/>
              </w:rPr>
              <w:t>3</w:t>
            </w:r>
            <w:r>
              <w:rPr>
                <w:rFonts w:hint="eastAsia" w:ascii="宋体" w:hAnsi="宋体"/>
                <w:szCs w:val="21"/>
                <w:lang w:val="zh-CN"/>
              </w:rPr>
              <w:t>万元的</w:t>
            </w:r>
            <w:r>
              <w:rPr>
                <w:rFonts w:hint="eastAsia" w:ascii="宋体" w:hAnsi="宋体"/>
                <w:szCs w:val="21"/>
              </w:rPr>
              <w:t>建筑施工</w:t>
            </w:r>
            <w:r>
              <w:rPr>
                <w:rFonts w:hint="eastAsia" w:ascii="宋体" w:hAnsi="宋体"/>
                <w:szCs w:val="21"/>
                <w:lang w:val="zh-CN"/>
              </w:rPr>
              <w:t>工程业绩，类似业绩以</w:t>
            </w:r>
            <w:r>
              <w:rPr>
                <w:rFonts w:hint="eastAsia" w:ascii="宋体" w:hAnsi="宋体"/>
                <w:szCs w:val="21"/>
              </w:rPr>
              <w:t>合同签订</w:t>
            </w:r>
            <w:r>
              <w:rPr>
                <w:rFonts w:hint="eastAsia" w:ascii="宋体" w:hAnsi="宋体"/>
                <w:szCs w:val="21"/>
                <w:lang w:val="zh-CN"/>
              </w:rPr>
              <w:t>时间为准），每个得</w:t>
            </w:r>
            <w:r>
              <w:rPr>
                <w:rFonts w:hint="eastAsia" w:ascii="宋体" w:hAnsi="宋体"/>
                <w:szCs w:val="21"/>
              </w:rPr>
              <w:t>3</w:t>
            </w:r>
            <w:r>
              <w:rPr>
                <w:rFonts w:hint="eastAsia" w:ascii="宋体" w:hAnsi="宋体"/>
                <w:szCs w:val="21"/>
                <w:lang w:val="zh-CN"/>
              </w:rPr>
              <w:t>分，本项满分</w:t>
            </w:r>
            <w:r>
              <w:rPr>
                <w:rFonts w:hint="eastAsia" w:ascii="宋体" w:hAnsi="宋体"/>
                <w:szCs w:val="21"/>
              </w:rPr>
              <w:t>9</w:t>
            </w:r>
            <w:r>
              <w:rPr>
                <w:rFonts w:hint="eastAsia" w:ascii="宋体" w:hAnsi="宋体"/>
                <w:szCs w:val="21"/>
                <w:lang w:val="zh-CN"/>
              </w:rPr>
              <w:t>分。</w:t>
            </w:r>
          </w:p>
          <w:p w14:paraId="517A4590">
            <w:pPr>
              <w:rPr>
                <w:rFonts w:hint="eastAsia" w:ascii="宋体" w:hAnsi="宋体"/>
                <w:sz w:val="24"/>
              </w:rPr>
            </w:pPr>
            <w:r>
              <w:rPr>
                <w:rFonts w:hint="eastAsia" w:ascii="宋体" w:hAnsi="宋体"/>
                <w:szCs w:val="21"/>
              </w:rPr>
              <w:t>需</w:t>
            </w:r>
            <w:r>
              <w:rPr>
                <w:rFonts w:hint="eastAsia" w:ascii="宋体" w:hAnsi="宋体"/>
                <w:szCs w:val="21"/>
                <w:lang w:val="zh-CN"/>
              </w:rPr>
              <w:t>提供能反映项目名称、合同金额、合同内容、签约主体、签订时间的工程合同</w:t>
            </w:r>
            <w:r>
              <w:rPr>
                <w:rFonts w:hint="eastAsia" w:ascii="宋体" w:hAnsi="宋体"/>
                <w:szCs w:val="21"/>
              </w:rPr>
              <w:t>，否则不得分。</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654C0AEC">
            <w:pPr>
              <w:rPr>
                <w:rFonts w:ascii="宋体" w:hAnsi="宋体"/>
                <w:sz w:val="24"/>
              </w:rPr>
            </w:pPr>
            <w:r>
              <w:rPr>
                <w:rFonts w:hint="eastAsia" w:ascii="宋体" w:hAnsi="宋体"/>
                <w:sz w:val="24"/>
              </w:rPr>
              <w:t>0-9分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43E0D3A2">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F9F262">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767B7FC">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8C6E895">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D522B8F">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3BD3ABC0">
            <w:pPr>
              <w:rPr>
                <w:rFonts w:hint="eastAsia" w:ascii="宋体" w:hAnsi="宋体"/>
                <w:sz w:val="24"/>
              </w:rPr>
            </w:pPr>
          </w:p>
        </w:tc>
      </w:tr>
      <w:tr w14:paraId="6A8421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3"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05AD807E">
            <w:pPr>
              <w:spacing w:line="0" w:lineRule="atLeast"/>
              <w:jc w:val="center"/>
              <w:rPr>
                <w:rFonts w:hint="eastAsia" w:ascii="宋体" w:hAnsi="宋体"/>
                <w:sz w:val="24"/>
              </w:rPr>
            </w:pPr>
            <w:r>
              <w:rPr>
                <w:rFonts w:hint="eastAsia" w:ascii="宋体" w:hAnsi="宋体"/>
                <w:sz w:val="24"/>
              </w:rPr>
              <w:t>2</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3B65CFC">
            <w:pPr>
              <w:jc w:val="center"/>
              <w:rPr>
                <w:rFonts w:hint="eastAsia" w:ascii="宋体" w:hAnsi="宋体"/>
                <w:sz w:val="24"/>
              </w:rPr>
            </w:pPr>
            <w:r>
              <w:rPr>
                <w:rFonts w:hint="eastAsia" w:ascii="宋体" w:hAnsi="宋体"/>
                <w:sz w:val="24"/>
              </w:rPr>
              <w:t>营业执照</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5FE3A9E1">
            <w:pPr>
              <w:rPr>
                <w:rFonts w:ascii="宋体" w:hAnsi="宋体"/>
                <w:sz w:val="24"/>
              </w:rPr>
            </w:pPr>
            <w:r>
              <w:rPr>
                <w:rFonts w:hint="eastAsia" w:ascii="宋体" w:hAnsi="宋体"/>
                <w:sz w:val="24"/>
              </w:rPr>
              <w:t>经营范围内有建筑装修装饰工程专业承包二级以上建筑业企业资质的得5分；建筑工程的得3分，本项总计8分。</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5C939B8">
            <w:pPr>
              <w:rPr>
                <w:rFonts w:ascii="宋体" w:hAnsi="宋体"/>
                <w:sz w:val="24"/>
              </w:rPr>
            </w:pPr>
            <w:r>
              <w:rPr>
                <w:rFonts w:hint="eastAsia" w:ascii="宋体" w:hAnsi="宋体"/>
                <w:sz w:val="24"/>
              </w:rPr>
              <w:t>0-8分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6E744E1F">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179F4096">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554092F">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390573A">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FE87A98">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0F5268C5">
            <w:pPr>
              <w:rPr>
                <w:rFonts w:hint="eastAsia" w:ascii="宋体" w:hAnsi="宋体"/>
                <w:sz w:val="24"/>
              </w:rPr>
            </w:pPr>
          </w:p>
        </w:tc>
      </w:tr>
      <w:tr w14:paraId="21F14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48"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597E8502">
            <w:pPr>
              <w:spacing w:line="0" w:lineRule="atLeast"/>
              <w:jc w:val="center"/>
              <w:rPr>
                <w:rFonts w:hint="eastAsia" w:ascii="宋体" w:hAnsi="宋体"/>
                <w:sz w:val="24"/>
              </w:rPr>
            </w:pPr>
            <w:r>
              <w:rPr>
                <w:rFonts w:hint="eastAsia" w:ascii="宋体" w:hAnsi="宋体"/>
                <w:sz w:val="24"/>
              </w:rPr>
              <w:t>3</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E868FAF">
            <w:pPr>
              <w:jc w:val="center"/>
              <w:rPr>
                <w:rFonts w:hint="eastAsia" w:ascii="宋体" w:hAnsi="宋体"/>
                <w:sz w:val="24"/>
              </w:rPr>
            </w:pPr>
            <w:r>
              <w:rPr>
                <w:rFonts w:hint="eastAsia" w:ascii="宋体" w:hAnsi="宋体"/>
                <w:szCs w:val="21"/>
              </w:rPr>
              <w:t>质量管理体系与措施</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3CAC784C">
            <w:pPr>
              <w:rPr>
                <w:rFonts w:hint="eastAsia" w:ascii="宋体" w:hAnsi="宋体"/>
                <w:sz w:val="24"/>
              </w:rPr>
            </w:pPr>
            <w:r>
              <w:rPr>
                <w:rFonts w:hint="eastAsia" w:ascii="宋体" w:hAnsi="宋体" w:cs="宋体"/>
                <w:szCs w:val="21"/>
              </w:rPr>
              <w:t>已通过</w:t>
            </w:r>
            <w:r>
              <w:rPr>
                <w:rFonts w:hint="eastAsia" w:ascii="宋体" w:hAnsi="宋体" w:cs="宋体"/>
                <w:szCs w:val="21"/>
                <w:lang w:val="zh-CN"/>
              </w:rPr>
              <w:t>质量管理体系认证、环境管理体系认证、职业健康安全管理体系认证，</w:t>
            </w:r>
            <w:r>
              <w:rPr>
                <w:rFonts w:hint="eastAsia" w:ascii="宋体" w:hAnsi="宋体" w:cs="宋体"/>
                <w:szCs w:val="21"/>
              </w:rPr>
              <w:t>获得“</w:t>
            </w:r>
            <w:r>
              <w:rPr>
                <w:rFonts w:hint="eastAsia" w:ascii="宋体" w:hAnsi="宋体" w:cs="宋体"/>
                <w:szCs w:val="21"/>
                <w:lang w:val="zh-CN"/>
              </w:rPr>
              <w:t>重合同守信用</w:t>
            </w:r>
            <w:r>
              <w:rPr>
                <w:rFonts w:hint="eastAsia" w:ascii="宋体" w:hAnsi="宋体" w:cs="宋体"/>
                <w:szCs w:val="21"/>
              </w:rPr>
              <w:t>企业认证证书”的，每个资质得1分，最高得4分；根据工程质量管理的保证体系的科学合理性、措施先进可行性、完备性；各类质量通病防治措施是否合理、可行、有效综合评分：0-4分。本项综合得分为0-8分</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FF92E25">
            <w:pPr>
              <w:rPr>
                <w:rFonts w:hint="eastAsia" w:ascii="宋体" w:hAnsi="宋体"/>
                <w:sz w:val="24"/>
              </w:rPr>
            </w:pPr>
            <w:r>
              <w:rPr>
                <w:rFonts w:hint="eastAsia" w:ascii="宋体" w:hAnsi="宋体"/>
                <w:sz w:val="24"/>
              </w:rPr>
              <w:t>0-8分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5D2EFC2D">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7AC86F10">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F276CA8">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FDE8626">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16DEF6F2">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4664E2D3">
            <w:pPr>
              <w:rPr>
                <w:rFonts w:hint="eastAsia" w:ascii="宋体" w:hAnsi="宋体"/>
                <w:sz w:val="24"/>
              </w:rPr>
            </w:pPr>
          </w:p>
        </w:tc>
      </w:tr>
      <w:tr w14:paraId="13DA38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9"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15733F1E">
            <w:pPr>
              <w:spacing w:line="0" w:lineRule="atLeast"/>
              <w:jc w:val="center"/>
              <w:rPr>
                <w:rFonts w:hint="eastAsia" w:ascii="宋体" w:hAnsi="宋体"/>
                <w:sz w:val="24"/>
              </w:rPr>
            </w:pPr>
            <w:r>
              <w:rPr>
                <w:rFonts w:hint="eastAsia" w:ascii="宋体" w:hAnsi="宋体"/>
                <w:sz w:val="24"/>
              </w:rPr>
              <w:t>4</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66BAE13B">
            <w:pPr>
              <w:jc w:val="center"/>
              <w:rPr>
                <w:rFonts w:hint="eastAsia" w:ascii="宋体" w:hAnsi="宋体"/>
                <w:sz w:val="24"/>
              </w:rPr>
            </w:pPr>
            <w:r>
              <w:rPr>
                <w:rFonts w:hint="eastAsia" w:ascii="宋体" w:hAnsi="宋体"/>
                <w:szCs w:val="21"/>
              </w:rPr>
              <w:t>主要施工管理方案与措施</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75BB53BD">
            <w:pPr>
              <w:rPr>
                <w:rFonts w:hint="eastAsia" w:ascii="宋体" w:hAnsi="宋体"/>
                <w:sz w:val="24"/>
              </w:rPr>
            </w:pPr>
            <w:r>
              <w:rPr>
                <w:rFonts w:hint="eastAsia" w:ascii="宋体" w:hAnsi="宋体" w:cs="宋体"/>
                <w:szCs w:val="21"/>
              </w:rPr>
              <w:t>依据本项目施工要求提出针对本项目的施工管理方法，根据管理方案的合理性、完备性；关键工序和复杂环节的技术保障措施是否可行、完备综合评分：0-10分。</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E8A79FE">
            <w:pPr>
              <w:rPr>
                <w:rFonts w:ascii="宋体" w:hAnsi="宋体"/>
                <w:sz w:val="24"/>
              </w:rPr>
            </w:pPr>
            <w:r>
              <w:rPr>
                <w:rFonts w:hint="eastAsia" w:ascii="宋体" w:hAnsi="宋体"/>
                <w:sz w:val="24"/>
              </w:rPr>
              <w:t>0-10分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06D42782">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29F3738C">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58F75B72">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38DFA5AF">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7087A5B9">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6B9EBF70">
            <w:pPr>
              <w:rPr>
                <w:rFonts w:hint="eastAsia" w:ascii="宋体" w:hAnsi="宋体"/>
                <w:sz w:val="24"/>
              </w:rPr>
            </w:pPr>
          </w:p>
        </w:tc>
      </w:tr>
      <w:tr w14:paraId="0CD7D9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13"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6224715F">
            <w:pPr>
              <w:widowControl/>
              <w:spacing w:line="0" w:lineRule="atLeast"/>
              <w:jc w:val="center"/>
              <w:rPr>
                <w:rFonts w:hint="eastAsia" w:ascii="宋体" w:hAnsi="宋体"/>
                <w:sz w:val="24"/>
              </w:rPr>
            </w:pPr>
            <w:r>
              <w:rPr>
                <w:rFonts w:hint="eastAsia" w:ascii="宋体" w:hAnsi="宋体"/>
                <w:sz w:val="24"/>
              </w:rPr>
              <w:t>5</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B3F912C">
            <w:pPr>
              <w:jc w:val="center"/>
              <w:rPr>
                <w:rFonts w:hint="eastAsia" w:ascii="宋体" w:hAnsi="宋体"/>
                <w:sz w:val="24"/>
              </w:rPr>
            </w:pPr>
            <w:r>
              <w:rPr>
                <w:rFonts w:hint="eastAsia" w:ascii="宋体" w:hAnsi="宋体" w:cs="宋体"/>
                <w:bCs/>
                <w:szCs w:val="21"/>
              </w:rPr>
              <w:t>服务承诺</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7D1A0980">
            <w:pPr>
              <w:widowControl/>
              <w:jc w:val="left"/>
              <w:rPr>
                <w:rFonts w:hint="eastAsia" w:ascii="宋体" w:hAnsi="宋体" w:cs="宋体"/>
                <w:szCs w:val="21"/>
              </w:rPr>
            </w:pPr>
            <w:r>
              <w:rPr>
                <w:rFonts w:hint="eastAsia" w:ascii="宋体" w:hAnsi="宋体" w:cs="宋体"/>
                <w:szCs w:val="21"/>
              </w:rPr>
              <w:t>承诺提供选派至本项目经理每日在岗，保障施工工艺符合《装修安全施工规范》</w:t>
            </w:r>
            <w:r>
              <w:rPr>
                <w:rFonts w:hint="eastAsia" w:ascii="宋体" w:hAnsi="宋体" w:cs="宋体"/>
                <w:color w:val="000000"/>
                <w:kern w:val="0"/>
                <w:szCs w:val="21"/>
                <w:lang w:bidi="ar"/>
              </w:rPr>
              <w:t>，得2分；</w:t>
            </w:r>
            <w:r>
              <w:rPr>
                <w:rFonts w:hint="eastAsia" w:ascii="宋体" w:hAnsi="宋体" w:cs="宋体"/>
                <w:szCs w:val="21"/>
              </w:rPr>
              <w:t>承诺提供水、电、装饰、空调安装施工2年免费质量保证，得5分；承诺提供钢结构安全施工与原有建筑结构使用年限一致的质量保证，得15分；且响应时间在24小时以内完成服务要求的，得3分；无承诺的，不得分。</w:t>
            </w:r>
          </w:p>
          <w:p w14:paraId="0E9B46DE">
            <w:pPr>
              <w:rPr>
                <w:rFonts w:hint="eastAsia" w:ascii="宋体" w:hAnsi="宋体"/>
                <w:sz w:val="24"/>
              </w:rPr>
            </w:pPr>
            <w:r>
              <w:rPr>
                <w:rFonts w:hint="eastAsia" w:cs="宋体"/>
                <w:szCs w:val="21"/>
              </w:rPr>
              <w:t>注：本项承诺将根据中标单位的投标承诺，在合同内约定。</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74665FEC">
            <w:pPr>
              <w:rPr>
                <w:rFonts w:ascii="宋体" w:hAnsi="宋体"/>
                <w:sz w:val="24"/>
              </w:rPr>
            </w:pPr>
            <w:r>
              <w:rPr>
                <w:rFonts w:hint="eastAsia" w:ascii="宋体" w:hAnsi="宋体"/>
                <w:sz w:val="24"/>
              </w:rPr>
              <w:t>0-20分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32C5B48D">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65FF7CAE">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10D4BDA8">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F6C3D90">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1DC851F5">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0207C8EF">
            <w:pPr>
              <w:rPr>
                <w:rFonts w:hint="eastAsia" w:ascii="宋体" w:hAnsi="宋体"/>
                <w:sz w:val="24"/>
              </w:rPr>
            </w:pPr>
          </w:p>
        </w:tc>
      </w:tr>
      <w:tr w14:paraId="30D9A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14:paraId="0A530171">
            <w:pPr>
              <w:widowControl/>
              <w:spacing w:line="0" w:lineRule="atLeast"/>
              <w:jc w:val="center"/>
              <w:rPr>
                <w:rFonts w:hint="eastAsia" w:ascii="宋体" w:hAnsi="宋体"/>
                <w:sz w:val="24"/>
              </w:rPr>
            </w:pPr>
            <w:r>
              <w:rPr>
                <w:rFonts w:hint="eastAsia" w:ascii="宋体" w:hAnsi="宋体"/>
                <w:sz w:val="24"/>
              </w:rPr>
              <w:t>6</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9855DDE">
            <w:pPr>
              <w:rPr>
                <w:rFonts w:hint="eastAsia" w:ascii="宋体" w:hAnsi="宋体"/>
                <w:sz w:val="24"/>
              </w:rPr>
            </w:pPr>
            <w:r>
              <w:rPr>
                <w:rFonts w:hint="eastAsia" w:ascii="宋体" w:hAnsi="宋体"/>
              </w:rPr>
              <w:t>进度、安全、文明管理体系与措施</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1B4B20D7">
            <w:pPr>
              <w:rPr>
                <w:rFonts w:hint="eastAsia" w:ascii="宋体" w:hAnsi="宋体"/>
                <w:sz w:val="24"/>
              </w:rPr>
            </w:pPr>
            <w:r>
              <w:rPr>
                <w:rFonts w:hint="eastAsia" w:ascii="宋体" w:hAnsi="宋体" w:cs="宋体"/>
                <w:szCs w:val="21"/>
              </w:rPr>
              <w:t>结合现场实际情况，编制</w:t>
            </w:r>
            <w:r>
              <w:rPr>
                <w:rFonts w:hint="eastAsia" w:ascii="宋体" w:hAnsi="宋体"/>
              </w:rPr>
              <w:t>进度计划表、主要工序进度是否符合项目节点工期要求，保证工期的安装施工措施是否具有操作性，</w:t>
            </w:r>
            <w:r>
              <w:rPr>
                <w:rFonts w:hint="eastAsia" w:ascii="宋体" w:hAnsi="宋体" w:cs="宋体"/>
                <w:szCs w:val="21"/>
              </w:rPr>
              <w:t>编制的</w:t>
            </w:r>
            <w:r>
              <w:rPr>
                <w:rFonts w:hint="eastAsia" w:ascii="宋体" w:hAnsi="宋体"/>
              </w:rPr>
              <w:t>安全、文明施工管理措施，以确保现场设备使用和正常运行，根据措施的科学性及合理性综合评分：0-10分。</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204B1375">
            <w:pPr>
              <w:rPr>
                <w:rFonts w:ascii="宋体" w:hAnsi="宋体"/>
                <w:sz w:val="24"/>
              </w:rPr>
            </w:pPr>
            <w:r>
              <w:rPr>
                <w:rFonts w:hint="eastAsia" w:ascii="宋体" w:hAnsi="宋体"/>
                <w:sz w:val="24"/>
              </w:rPr>
              <w:t>0-10分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00F02657">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61529913">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706D5723">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AAE6DFE">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56A71B5">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142808ED">
            <w:pPr>
              <w:rPr>
                <w:rFonts w:hint="eastAsia" w:ascii="宋体" w:hAnsi="宋体"/>
                <w:sz w:val="24"/>
              </w:rPr>
            </w:pPr>
          </w:p>
        </w:tc>
      </w:tr>
      <w:tr w14:paraId="52B08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5" w:hRule="atLeast"/>
        </w:trPr>
        <w:tc>
          <w:tcPr>
            <w:tcW w:w="660" w:type="dxa"/>
            <w:tcBorders>
              <w:top w:val="single" w:color="auto" w:sz="4" w:space="0"/>
              <w:left w:val="single" w:color="auto" w:sz="4" w:space="0"/>
              <w:right w:val="single" w:color="auto" w:sz="4" w:space="0"/>
            </w:tcBorders>
            <w:noWrap w:val="0"/>
            <w:vAlign w:val="center"/>
          </w:tcPr>
          <w:p w14:paraId="3F7C3F71">
            <w:pPr>
              <w:jc w:val="center"/>
              <w:rPr>
                <w:rFonts w:hint="eastAsia" w:ascii="宋体" w:hAnsi="宋体"/>
                <w:sz w:val="24"/>
              </w:rPr>
            </w:pPr>
            <w:r>
              <w:rPr>
                <w:rFonts w:hint="eastAsia" w:ascii="宋体" w:hAnsi="宋体"/>
                <w:sz w:val="24"/>
              </w:rPr>
              <w:t>7</w:t>
            </w:r>
          </w:p>
        </w:tc>
        <w:tc>
          <w:tcPr>
            <w:tcW w:w="1215" w:type="dxa"/>
            <w:tcBorders>
              <w:top w:val="single" w:color="auto" w:sz="4" w:space="0"/>
              <w:left w:val="single" w:color="auto" w:sz="4" w:space="0"/>
              <w:right w:val="single" w:color="auto" w:sz="4" w:space="0"/>
            </w:tcBorders>
            <w:noWrap w:val="0"/>
            <w:vAlign w:val="center"/>
          </w:tcPr>
          <w:p w14:paraId="6B63B085">
            <w:pPr>
              <w:jc w:val="center"/>
              <w:rPr>
                <w:rFonts w:ascii="宋体" w:hAnsi="宋体"/>
                <w:sz w:val="24"/>
              </w:rPr>
            </w:pPr>
            <w:r>
              <w:rPr>
                <w:rFonts w:hint="eastAsia" w:ascii="宋体" w:hAnsi="宋体"/>
                <w:sz w:val="24"/>
              </w:rPr>
              <w:t>综合得分</w:t>
            </w:r>
          </w:p>
        </w:tc>
        <w:tc>
          <w:tcPr>
            <w:tcW w:w="4035" w:type="dxa"/>
            <w:tcBorders>
              <w:top w:val="single" w:color="auto" w:sz="4" w:space="0"/>
              <w:left w:val="single" w:color="auto" w:sz="4" w:space="0"/>
              <w:bottom w:val="single" w:color="auto" w:sz="4" w:space="0"/>
              <w:right w:val="single" w:color="auto" w:sz="4" w:space="0"/>
            </w:tcBorders>
            <w:noWrap w:val="0"/>
            <w:vAlign w:val="center"/>
          </w:tcPr>
          <w:p w14:paraId="0BD36B0D">
            <w:pPr>
              <w:rPr>
                <w:rFonts w:hint="eastAsia" w:ascii="宋体" w:hAnsi="宋体"/>
                <w:sz w:val="24"/>
              </w:rPr>
            </w:pPr>
          </w:p>
        </w:tc>
        <w:tc>
          <w:tcPr>
            <w:tcW w:w="1185" w:type="dxa"/>
            <w:tcBorders>
              <w:top w:val="single" w:color="auto" w:sz="4" w:space="0"/>
              <w:left w:val="single" w:color="auto" w:sz="4" w:space="0"/>
              <w:bottom w:val="single" w:color="auto" w:sz="4" w:space="0"/>
              <w:right w:val="single" w:color="auto" w:sz="4" w:space="0"/>
            </w:tcBorders>
            <w:noWrap w:val="0"/>
            <w:vAlign w:val="center"/>
          </w:tcPr>
          <w:p w14:paraId="11B157DE">
            <w:pPr>
              <w:rPr>
                <w:rFonts w:ascii="宋体" w:hAnsi="宋体"/>
                <w:sz w:val="24"/>
              </w:rPr>
            </w:pPr>
            <w:r>
              <w:rPr>
                <w:rFonts w:hint="eastAsia" w:ascii="宋体" w:hAnsi="宋体"/>
                <w:sz w:val="24"/>
              </w:rPr>
              <w:t>0-65分</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27EB8F42">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23C659EB">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42B656B7">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125DF73A">
            <w:pPr>
              <w:rPr>
                <w:rFonts w:hint="eastAsia" w:ascii="宋体" w:hAnsi="宋体"/>
                <w:sz w:val="24"/>
              </w:rPr>
            </w:pPr>
          </w:p>
        </w:tc>
        <w:tc>
          <w:tcPr>
            <w:tcW w:w="540" w:type="dxa"/>
            <w:tcBorders>
              <w:top w:val="single" w:color="auto" w:sz="4" w:space="0"/>
              <w:left w:val="single" w:color="auto" w:sz="4" w:space="0"/>
              <w:bottom w:val="single" w:color="auto" w:sz="4" w:space="0"/>
              <w:right w:val="single" w:color="auto" w:sz="4" w:space="0"/>
            </w:tcBorders>
            <w:noWrap w:val="0"/>
            <w:vAlign w:val="center"/>
          </w:tcPr>
          <w:p w14:paraId="6F1FFEBC">
            <w:pPr>
              <w:rPr>
                <w:rFonts w:hint="eastAsia" w:ascii="宋体" w:hAnsi="宋体"/>
                <w:sz w:val="24"/>
              </w:rPr>
            </w:pPr>
          </w:p>
        </w:tc>
        <w:tc>
          <w:tcPr>
            <w:tcW w:w="555" w:type="dxa"/>
            <w:tcBorders>
              <w:top w:val="single" w:color="auto" w:sz="4" w:space="0"/>
              <w:left w:val="single" w:color="auto" w:sz="4" w:space="0"/>
              <w:bottom w:val="single" w:color="auto" w:sz="4" w:space="0"/>
              <w:right w:val="single" w:color="auto" w:sz="4" w:space="0"/>
            </w:tcBorders>
            <w:noWrap w:val="0"/>
            <w:vAlign w:val="center"/>
          </w:tcPr>
          <w:p w14:paraId="1266219D">
            <w:pPr>
              <w:rPr>
                <w:rFonts w:hint="eastAsia" w:ascii="宋体" w:hAnsi="宋体"/>
                <w:sz w:val="24"/>
              </w:rPr>
            </w:pPr>
          </w:p>
        </w:tc>
      </w:tr>
    </w:tbl>
    <w:p w14:paraId="0E4F86E8">
      <w:pPr>
        <w:spacing w:line="440" w:lineRule="exact"/>
        <w:rPr>
          <w:rFonts w:hint="eastAsia" w:ascii="宋体" w:hAnsi="宋体"/>
          <w:b/>
          <w:bCs/>
          <w:sz w:val="24"/>
          <w:szCs w:val="20"/>
        </w:rPr>
      </w:pPr>
      <w:r>
        <w:rPr>
          <w:rFonts w:hint="eastAsia" w:ascii="宋体" w:hAnsi="宋体"/>
          <w:b/>
          <w:sz w:val="24"/>
          <w:szCs w:val="20"/>
        </w:rPr>
        <w:t>备注：</w:t>
      </w:r>
      <w:r>
        <w:rPr>
          <w:rFonts w:hint="eastAsia" w:ascii="宋体" w:hAnsi="宋体"/>
          <w:b w:val="0"/>
          <w:bCs/>
          <w:sz w:val="24"/>
          <w:szCs w:val="20"/>
        </w:rPr>
        <w:t>上述所要求凡涉及评审的项目，投标文件中均应附相关证明材料扫描件，内容及图章应清晰。投标人必须对其投标时提供的有关资料的真实性负责，一旦查出有弄虚作假行为，按废标处理。</w:t>
      </w:r>
    </w:p>
    <w:p w14:paraId="2B47939C">
      <w:pPr>
        <w:spacing w:line="360" w:lineRule="auto"/>
        <w:rPr>
          <w:rFonts w:hint="eastAsia" w:ascii="宋体" w:hAnsi="宋体"/>
          <w:b/>
          <w:bCs/>
          <w:sz w:val="24"/>
          <w:szCs w:val="20"/>
        </w:rPr>
      </w:pPr>
    </w:p>
    <w:p w14:paraId="6FE80A0F">
      <w:pPr>
        <w:spacing w:line="360" w:lineRule="auto"/>
        <w:rPr>
          <w:rFonts w:ascii="宋体" w:hAnsi="宋体"/>
          <w:b/>
          <w:bCs/>
          <w:sz w:val="24"/>
          <w:szCs w:val="20"/>
        </w:rPr>
      </w:pPr>
      <w:r>
        <w:rPr>
          <w:rFonts w:hint="eastAsia" w:ascii="宋体" w:hAnsi="宋体"/>
          <w:b/>
          <w:bCs/>
          <w:sz w:val="24"/>
          <w:szCs w:val="20"/>
        </w:rPr>
        <w:t>3、商务报价（35分）</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275"/>
        <w:gridCol w:w="4869"/>
        <w:gridCol w:w="1319"/>
        <w:gridCol w:w="465"/>
        <w:gridCol w:w="480"/>
        <w:gridCol w:w="477"/>
        <w:gridCol w:w="510"/>
        <w:gridCol w:w="483"/>
      </w:tblGrid>
      <w:tr w14:paraId="0D34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28" w:type="dxa"/>
            <w:vMerge w:val="restart"/>
            <w:tcBorders>
              <w:top w:val="single" w:color="auto" w:sz="4" w:space="0"/>
              <w:left w:val="single" w:color="auto" w:sz="4" w:space="0"/>
              <w:right w:val="single" w:color="auto" w:sz="4" w:space="0"/>
            </w:tcBorders>
            <w:noWrap w:val="0"/>
            <w:vAlign w:val="center"/>
          </w:tcPr>
          <w:p w14:paraId="378E0BEF">
            <w:pPr>
              <w:spacing w:line="276" w:lineRule="auto"/>
              <w:jc w:val="center"/>
              <w:rPr>
                <w:rFonts w:hint="eastAsia" w:ascii="宋体" w:hAnsi="宋体" w:cs="宋体"/>
                <w:b/>
                <w:sz w:val="24"/>
              </w:rPr>
            </w:pPr>
            <w:r>
              <w:rPr>
                <w:rFonts w:hint="eastAsia" w:ascii="宋体" w:hAnsi="宋体" w:cs="宋体"/>
                <w:b/>
                <w:sz w:val="24"/>
              </w:rPr>
              <w:t>序号</w:t>
            </w:r>
          </w:p>
        </w:tc>
        <w:tc>
          <w:tcPr>
            <w:tcW w:w="1275" w:type="dxa"/>
            <w:vMerge w:val="restart"/>
            <w:tcBorders>
              <w:top w:val="single" w:color="auto" w:sz="4" w:space="0"/>
              <w:left w:val="single" w:color="auto" w:sz="4" w:space="0"/>
              <w:right w:val="single" w:color="auto" w:sz="4" w:space="0"/>
            </w:tcBorders>
            <w:noWrap w:val="0"/>
            <w:vAlign w:val="center"/>
          </w:tcPr>
          <w:p w14:paraId="7AC4B4E8">
            <w:pPr>
              <w:spacing w:line="276" w:lineRule="auto"/>
              <w:jc w:val="center"/>
              <w:rPr>
                <w:rFonts w:ascii="宋体" w:hAnsi="宋体" w:cs="宋体"/>
                <w:b/>
                <w:sz w:val="24"/>
              </w:rPr>
            </w:pPr>
            <w:r>
              <w:rPr>
                <w:rFonts w:hint="eastAsia" w:ascii="宋体" w:hAnsi="宋体" w:cs="宋体"/>
                <w:b/>
                <w:sz w:val="24"/>
              </w:rPr>
              <w:t>评审内容</w:t>
            </w:r>
          </w:p>
        </w:tc>
        <w:tc>
          <w:tcPr>
            <w:tcW w:w="4869" w:type="dxa"/>
            <w:vMerge w:val="restart"/>
            <w:tcBorders>
              <w:top w:val="single" w:color="auto" w:sz="4" w:space="0"/>
              <w:left w:val="single" w:color="auto" w:sz="4" w:space="0"/>
              <w:right w:val="single" w:color="auto" w:sz="4" w:space="0"/>
            </w:tcBorders>
            <w:noWrap w:val="0"/>
            <w:vAlign w:val="center"/>
          </w:tcPr>
          <w:p w14:paraId="1381BC05">
            <w:pPr>
              <w:spacing w:line="276" w:lineRule="auto"/>
              <w:jc w:val="center"/>
              <w:rPr>
                <w:rFonts w:hint="eastAsia" w:ascii="宋体" w:hAnsi="宋体" w:cs="宋体"/>
                <w:b/>
                <w:sz w:val="24"/>
              </w:rPr>
            </w:pPr>
            <w:r>
              <w:rPr>
                <w:rFonts w:hint="eastAsia" w:ascii="宋体" w:hAnsi="宋体" w:cs="宋体"/>
                <w:b/>
                <w:sz w:val="24"/>
              </w:rPr>
              <w:t>评分因素</w:t>
            </w:r>
          </w:p>
        </w:tc>
        <w:tc>
          <w:tcPr>
            <w:tcW w:w="1319" w:type="dxa"/>
            <w:vMerge w:val="restart"/>
            <w:tcBorders>
              <w:top w:val="single" w:color="auto" w:sz="4" w:space="0"/>
              <w:left w:val="single" w:color="auto" w:sz="4" w:space="0"/>
              <w:right w:val="single" w:color="auto" w:sz="4" w:space="0"/>
            </w:tcBorders>
            <w:noWrap w:val="0"/>
            <w:vAlign w:val="center"/>
          </w:tcPr>
          <w:p w14:paraId="1A45C6A0">
            <w:pPr>
              <w:spacing w:line="276" w:lineRule="auto"/>
              <w:jc w:val="center"/>
              <w:rPr>
                <w:rFonts w:hint="eastAsia" w:ascii="宋体" w:hAnsi="宋体" w:cs="宋体"/>
                <w:b/>
                <w:sz w:val="24"/>
              </w:rPr>
            </w:pPr>
            <w:r>
              <w:rPr>
                <w:rFonts w:hint="eastAsia" w:ascii="宋体" w:hAnsi="宋体" w:cs="宋体"/>
                <w:b/>
                <w:sz w:val="24"/>
              </w:rPr>
              <w:t>评分标准</w:t>
            </w:r>
          </w:p>
        </w:tc>
        <w:tc>
          <w:tcPr>
            <w:tcW w:w="2415" w:type="dxa"/>
            <w:gridSpan w:val="5"/>
            <w:tcBorders>
              <w:top w:val="single" w:color="auto" w:sz="4" w:space="0"/>
              <w:left w:val="single" w:color="auto" w:sz="4" w:space="0"/>
              <w:bottom w:val="single" w:color="auto" w:sz="4" w:space="0"/>
              <w:right w:val="single" w:color="auto" w:sz="4" w:space="0"/>
            </w:tcBorders>
            <w:noWrap w:val="0"/>
            <w:vAlign w:val="center"/>
          </w:tcPr>
          <w:p w14:paraId="71CF8B59">
            <w:pPr>
              <w:spacing w:line="276" w:lineRule="auto"/>
              <w:jc w:val="center"/>
              <w:rPr>
                <w:rFonts w:hint="eastAsia" w:ascii="宋体" w:hAnsi="宋体" w:cs="宋体"/>
                <w:b/>
                <w:sz w:val="24"/>
              </w:rPr>
            </w:pPr>
            <w:r>
              <w:rPr>
                <w:rFonts w:hint="eastAsia" w:ascii="宋体" w:hAnsi="宋体" w:cs="宋体"/>
                <w:sz w:val="24"/>
              </w:rPr>
              <w:t>投标单位报价得分</w:t>
            </w:r>
          </w:p>
        </w:tc>
      </w:tr>
      <w:tr w14:paraId="5C2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28" w:type="dxa"/>
            <w:vMerge w:val="continue"/>
            <w:tcBorders>
              <w:left w:val="single" w:color="auto" w:sz="4" w:space="0"/>
              <w:bottom w:val="single" w:color="auto" w:sz="4" w:space="0"/>
              <w:right w:val="single" w:color="auto" w:sz="4" w:space="0"/>
            </w:tcBorders>
            <w:noWrap w:val="0"/>
            <w:vAlign w:val="center"/>
          </w:tcPr>
          <w:p w14:paraId="2EC664DD">
            <w:pPr>
              <w:spacing w:line="276" w:lineRule="auto"/>
              <w:jc w:val="center"/>
              <w:rPr>
                <w:rFonts w:hint="eastAsia" w:ascii="宋体" w:hAnsi="宋体" w:cs="宋体"/>
                <w:b/>
                <w:sz w:val="24"/>
              </w:rPr>
            </w:pPr>
          </w:p>
        </w:tc>
        <w:tc>
          <w:tcPr>
            <w:tcW w:w="1275" w:type="dxa"/>
            <w:vMerge w:val="continue"/>
            <w:tcBorders>
              <w:left w:val="single" w:color="auto" w:sz="4" w:space="0"/>
              <w:bottom w:val="single" w:color="auto" w:sz="4" w:space="0"/>
              <w:right w:val="single" w:color="auto" w:sz="4" w:space="0"/>
            </w:tcBorders>
            <w:noWrap w:val="0"/>
            <w:vAlign w:val="center"/>
          </w:tcPr>
          <w:p w14:paraId="2E171F41">
            <w:pPr>
              <w:spacing w:line="276" w:lineRule="auto"/>
              <w:jc w:val="center"/>
              <w:rPr>
                <w:rFonts w:hint="eastAsia" w:ascii="宋体" w:hAnsi="宋体" w:cs="宋体"/>
                <w:b/>
                <w:sz w:val="24"/>
              </w:rPr>
            </w:pPr>
          </w:p>
        </w:tc>
        <w:tc>
          <w:tcPr>
            <w:tcW w:w="4869" w:type="dxa"/>
            <w:vMerge w:val="continue"/>
            <w:tcBorders>
              <w:left w:val="single" w:color="auto" w:sz="4" w:space="0"/>
              <w:bottom w:val="single" w:color="auto" w:sz="4" w:space="0"/>
              <w:right w:val="single" w:color="auto" w:sz="4" w:space="0"/>
            </w:tcBorders>
            <w:noWrap w:val="0"/>
            <w:vAlign w:val="center"/>
          </w:tcPr>
          <w:p w14:paraId="30EE0389">
            <w:pPr>
              <w:spacing w:line="276" w:lineRule="auto"/>
              <w:jc w:val="center"/>
              <w:rPr>
                <w:rFonts w:hint="eastAsia" w:ascii="宋体" w:hAnsi="宋体" w:cs="宋体"/>
                <w:b/>
                <w:sz w:val="24"/>
              </w:rPr>
            </w:pPr>
          </w:p>
        </w:tc>
        <w:tc>
          <w:tcPr>
            <w:tcW w:w="1319" w:type="dxa"/>
            <w:vMerge w:val="continue"/>
            <w:tcBorders>
              <w:left w:val="single" w:color="auto" w:sz="4" w:space="0"/>
              <w:bottom w:val="single" w:color="auto" w:sz="4" w:space="0"/>
              <w:right w:val="single" w:color="auto" w:sz="4" w:space="0"/>
            </w:tcBorders>
            <w:noWrap w:val="0"/>
            <w:vAlign w:val="center"/>
          </w:tcPr>
          <w:p w14:paraId="402F2F1D">
            <w:pPr>
              <w:spacing w:line="276" w:lineRule="auto"/>
              <w:jc w:val="center"/>
              <w:rPr>
                <w:rFonts w:hint="eastAsia" w:ascii="宋体" w:hAnsi="宋体" w:cs="宋体"/>
                <w:b/>
                <w:sz w:val="24"/>
              </w:rPr>
            </w:pPr>
          </w:p>
        </w:tc>
        <w:tc>
          <w:tcPr>
            <w:tcW w:w="465" w:type="dxa"/>
            <w:tcBorders>
              <w:top w:val="single" w:color="auto" w:sz="4" w:space="0"/>
              <w:left w:val="single" w:color="auto" w:sz="4" w:space="0"/>
              <w:bottom w:val="single" w:color="auto" w:sz="4" w:space="0"/>
              <w:right w:val="single" w:color="auto" w:sz="4" w:space="0"/>
            </w:tcBorders>
            <w:noWrap w:val="0"/>
            <w:vAlign w:val="center"/>
          </w:tcPr>
          <w:p w14:paraId="628B167D">
            <w:pPr>
              <w:spacing w:line="276" w:lineRule="auto"/>
              <w:jc w:val="center"/>
              <w:rPr>
                <w:rFonts w:ascii="宋体" w:hAnsi="宋体" w:cs="宋体"/>
                <w:b/>
                <w:sz w:val="24"/>
              </w:rPr>
            </w:pPr>
            <w:r>
              <w:rPr>
                <w:rFonts w:hint="eastAsia" w:ascii="宋体" w:hAnsi="宋体" w:cs="宋体"/>
                <w:b/>
                <w:sz w:val="24"/>
              </w:rPr>
              <w:t>01</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577A2F35">
            <w:pPr>
              <w:spacing w:line="276" w:lineRule="auto"/>
              <w:jc w:val="center"/>
              <w:rPr>
                <w:rFonts w:ascii="宋体" w:hAnsi="宋体" w:cs="宋体"/>
                <w:b/>
                <w:sz w:val="24"/>
              </w:rPr>
            </w:pPr>
            <w:r>
              <w:rPr>
                <w:rFonts w:hint="eastAsia" w:ascii="宋体" w:hAnsi="宋体" w:cs="宋体"/>
                <w:b/>
                <w:sz w:val="24"/>
              </w:rPr>
              <w:t>02</w:t>
            </w:r>
          </w:p>
        </w:tc>
        <w:tc>
          <w:tcPr>
            <w:tcW w:w="477" w:type="dxa"/>
            <w:tcBorders>
              <w:top w:val="single" w:color="auto" w:sz="4" w:space="0"/>
              <w:left w:val="single" w:color="auto" w:sz="4" w:space="0"/>
              <w:bottom w:val="single" w:color="auto" w:sz="4" w:space="0"/>
              <w:right w:val="single" w:color="auto" w:sz="4" w:space="0"/>
            </w:tcBorders>
            <w:noWrap w:val="0"/>
            <w:vAlign w:val="center"/>
          </w:tcPr>
          <w:p w14:paraId="111AD689">
            <w:pPr>
              <w:spacing w:line="276" w:lineRule="auto"/>
              <w:jc w:val="center"/>
              <w:rPr>
                <w:rFonts w:ascii="宋体" w:hAnsi="宋体" w:cs="宋体"/>
                <w:b/>
                <w:sz w:val="24"/>
              </w:rPr>
            </w:pPr>
            <w:r>
              <w:rPr>
                <w:rFonts w:hint="eastAsia" w:ascii="宋体" w:hAnsi="宋体" w:cs="宋体"/>
                <w:b/>
                <w:sz w:val="24"/>
              </w:rPr>
              <w:t>03</w:t>
            </w:r>
          </w:p>
        </w:tc>
        <w:tc>
          <w:tcPr>
            <w:tcW w:w="510" w:type="dxa"/>
            <w:tcBorders>
              <w:top w:val="single" w:color="auto" w:sz="4" w:space="0"/>
              <w:left w:val="single" w:color="auto" w:sz="4" w:space="0"/>
              <w:bottom w:val="single" w:color="auto" w:sz="4" w:space="0"/>
              <w:right w:val="single" w:color="auto" w:sz="4" w:space="0"/>
            </w:tcBorders>
            <w:noWrap w:val="0"/>
            <w:vAlign w:val="center"/>
          </w:tcPr>
          <w:p w14:paraId="70E0A738">
            <w:pPr>
              <w:spacing w:line="276" w:lineRule="auto"/>
              <w:jc w:val="center"/>
              <w:rPr>
                <w:rFonts w:ascii="宋体" w:hAnsi="宋体" w:cs="宋体"/>
                <w:b/>
                <w:sz w:val="24"/>
              </w:rPr>
            </w:pPr>
            <w:r>
              <w:rPr>
                <w:rFonts w:hint="eastAsia" w:ascii="宋体" w:hAnsi="宋体" w:cs="宋体"/>
                <w:b/>
                <w:sz w:val="24"/>
              </w:rPr>
              <w:t>04</w:t>
            </w:r>
          </w:p>
        </w:tc>
        <w:tc>
          <w:tcPr>
            <w:tcW w:w="483" w:type="dxa"/>
            <w:tcBorders>
              <w:top w:val="single" w:color="auto" w:sz="4" w:space="0"/>
              <w:left w:val="single" w:color="auto" w:sz="4" w:space="0"/>
              <w:bottom w:val="single" w:color="auto" w:sz="4" w:space="0"/>
              <w:right w:val="single" w:color="auto" w:sz="4" w:space="0"/>
            </w:tcBorders>
            <w:noWrap w:val="0"/>
            <w:vAlign w:val="center"/>
          </w:tcPr>
          <w:p w14:paraId="59049529">
            <w:pPr>
              <w:spacing w:line="276" w:lineRule="auto"/>
              <w:jc w:val="center"/>
              <w:rPr>
                <w:rFonts w:ascii="宋体" w:hAnsi="宋体" w:cs="宋体"/>
                <w:b/>
                <w:sz w:val="24"/>
              </w:rPr>
            </w:pPr>
            <w:r>
              <w:rPr>
                <w:rFonts w:hint="eastAsia" w:ascii="宋体" w:hAnsi="宋体" w:cs="宋体"/>
                <w:b/>
                <w:sz w:val="24"/>
              </w:rPr>
              <w:t>05</w:t>
            </w:r>
          </w:p>
        </w:tc>
      </w:tr>
      <w:tr w14:paraId="22BC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8" w:hRule="atLeast"/>
          <w:jc w:val="center"/>
        </w:trPr>
        <w:tc>
          <w:tcPr>
            <w:tcW w:w="728" w:type="dxa"/>
            <w:tcBorders>
              <w:top w:val="single" w:color="auto" w:sz="4" w:space="0"/>
              <w:left w:val="single" w:color="auto" w:sz="4" w:space="0"/>
              <w:bottom w:val="single" w:color="auto" w:sz="4" w:space="0"/>
              <w:right w:val="single" w:color="auto" w:sz="4" w:space="0"/>
            </w:tcBorders>
            <w:noWrap w:val="0"/>
            <w:vAlign w:val="center"/>
          </w:tcPr>
          <w:p w14:paraId="02BF79A9">
            <w:pPr>
              <w:snapToGrid w:val="0"/>
              <w:spacing w:line="320" w:lineRule="exact"/>
              <w:jc w:val="center"/>
              <w:rPr>
                <w:rFonts w:hint="eastAsia" w:ascii="宋体" w:hAnsi="宋体" w:cs="宋体"/>
                <w:sz w:val="24"/>
              </w:rPr>
            </w:pPr>
            <w:r>
              <w:rPr>
                <w:rFonts w:hint="eastAsia" w:ascii="宋体" w:hAnsi="宋体" w:cs="宋体"/>
                <w:sz w:val="24"/>
              </w:rPr>
              <w:t>1</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902BB23">
            <w:pPr>
              <w:snapToGrid w:val="0"/>
              <w:spacing w:line="320" w:lineRule="exact"/>
              <w:jc w:val="center"/>
              <w:rPr>
                <w:rFonts w:hint="eastAsia" w:ascii="宋体" w:hAnsi="宋体" w:cs="宋体"/>
                <w:sz w:val="24"/>
              </w:rPr>
            </w:pPr>
            <w:r>
              <w:rPr>
                <w:rFonts w:hint="eastAsia" w:ascii="宋体" w:hAnsi="宋体" w:cs="宋体"/>
                <w:sz w:val="24"/>
              </w:rPr>
              <w:t>投标报价</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12EBF740">
            <w:pPr>
              <w:widowControl/>
              <w:jc w:val="left"/>
              <w:rPr>
                <w:rFonts w:hint="eastAsia" w:ascii="宋体" w:hAnsi="宋体" w:cs="宋体"/>
                <w:szCs w:val="21"/>
              </w:rPr>
            </w:pPr>
            <w:r>
              <w:rPr>
                <w:rFonts w:hint="eastAsia" w:ascii="宋体" w:hAnsi="宋体" w:cs="宋体"/>
                <w:kern w:val="0"/>
                <w:szCs w:val="21"/>
                <w:lang w:bidi="ar"/>
              </w:rPr>
              <w:t xml:space="preserve">投标报价评审（满分30 分） </w:t>
            </w:r>
          </w:p>
          <w:p w14:paraId="3D5C84CB">
            <w:pPr>
              <w:widowControl/>
              <w:ind w:firstLine="210" w:firstLineChars="100"/>
              <w:jc w:val="left"/>
              <w:rPr>
                <w:rFonts w:hint="eastAsia" w:ascii="宋体" w:hAnsi="宋体" w:cs="宋体"/>
                <w:szCs w:val="21"/>
              </w:rPr>
            </w:pPr>
            <w:r>
              <w:rPr>
                <w:rFonts w:hint="eastAsia" w:ascii="宋体" w:hAnsi="宋体" w:cs="宋体"/>
                <w:kern w:val="0"/>
                <w:szCs w:val="21"/>
                <w:lang w:bidi="ar"/>
              </w:rPr>
              <w:t xml:space="preserve">1）取通过初步评审合格投标人的投标报价为有效投标报价。 </w:t>
            </w:r>
          </w:p>
          <w:p w14:paraId="2EE9041F">
            <w:pPr>
              <w:widowControl/>
              <w:ind w:firstLine="210" w:firstLineChars="100"/>
              <w:jc w:val="left"/>
              <w:rPr>
                <w:rFonts w:hint="eastAsia" w:ascii="宋体" w:hAnsi="宋体" w:cs="宋体"/>
                <w:szCs w:val="21"/>
              </w:rPr>
            </w:pPr>
            <w:r>
              <w:rPr>
                <w:rFonts w:hint="eastAsia" w:ascii="宋体" w:hAnsi="宋体" w:cs="宋体"/>
                <w:kern w:val="0"/>
                <w:szCs w:val="21"/>
                <w:lang w:bidi="ar"/>
              </w:rPr>
              <w:t xml:space="preserve">2）报价得分计算：最高响应限价 </w:t>
            </w:r>
          </w:p>
          <w:p w14:paraId="532E2AE9">
            <w:pPr>
              <w:widowControl/>
              <w:jc w:val="left"/>
              <w:rPr>
                <w:rFonts w:hint="eastAsia" w:ascii="宋体" w:hAnsi="宋体" w:cs="宋体"/>
                <w:kern w:val="0"/>
                <w:szCs w:val="21"/>
                <w:lang w:bidi="ar"/>
              </w:rPr>
            </w:pPr>
            <w:r>
              <w:rPr>
                <w:rFonts w:hint="eastAsia" w:ascii="宋体" w:hAnsi="宋体" w:cs="宋体"/>
                <w:kern w:val="0"/>
                <w:szCs w:val="21"/>
                <w:lang w:bidi="ar"/>
              </w:rPr>
              <w:t>供应商的响应报价不得高于招标人公布的最高响应限价，否则其响应无效。经过初步评审确认的响应报价为有效响应报价；</w:t>
            </w:r>
          </w:p>
          <w:p w14:paraId="341FF78A">
            <w:pPr>
              <w:widowControl/>
              <w:ind w:firstLine="210" w:firstLineChars="100"/>
              <w:jc w:val="left"/>
              <w:rPr>
                <w:rFonts w:hint="eastAsia" w:ascii="宋体" w:hAnsi="宋体" w:cs="宋体"/>
                <w:kern w:val="0"/>
                <w:szCs w:val="21"/>
                <w:lang w:bidi="ar"/>
              </w:rPr>
            </w:pPr>
            <w:r>
              <w:rPr>
                <w:rFonts w:hint="eastAsia" w:ascii="宋体" w:hAnsi="宋体" w:cs="宋体"/>
                <w:kern w:val="0"/>
                <w:szCs w:val="21"/>
                <w:lang w:bidi="ar"/>
              </w:rPr>
              <w:t>3）评审基准价为各有效响应报价的算术平均值；商务标得分计算；</w:t>
            </w:r>
          </w:p>
          <w:p w14:paraId="6A1EEECB">
            <w:pPr>
              <w:widowControl/>
              <w:ind w:firstLine="210" w:firstLineChars="100"/>
              <w:jc w:val="left"/>
              <w:rPr>
                <w:rFonts w:hint="eastAsia" w:ascii="宋体" w:hAnsi="宋体" w:cs="宋体"/>
                <w:szCs w:val="21"/>
              </w:rPr>
            </w:pPr>
            <w:r>
              <w:rPr>
                <w:rFonts w:hint="eastAsia" w:ascii="宋体" w:hAnsi="宋体" w:cs="宋体"/>
                <w:kern w:val="0"/>
                <w:szCs w:val="21"/>
                <w:lang w:bidi="ar"/>
              </w:rPr>
              <w:t xml:space="preserve">4）以各有效响应报价与评标基准价相比，计算出偏离值 P； </w:t>
            </w:r>
          </w:p>
          <w:p w14:paraId="5450A5B5">
            <w:pPr>
              <w:widowControl/>
              <w:ind w:firstLine="210" w:firstLineChars="100"/>
              <w:jc w:val="left"/>
              <w:rPr>
                <w:rFonts w:hint="eastAsia" w:ascii="宋体" w:hAnsi="宋体" w:cs="宋体"/>
                <w:szCs w:val="21"/>
              </w:rPr>
            </w:pPr>
            <w:r>
              <w:rPr>
                <w:rFonts w:hint="eastAsia" w:ascii="宋体" w:hAnsi="宋体" w:cs="宋体"/>
                <w:kern w:val="0"/>
                <w:szCs w:val="21"/>
                <w:lang w:bidi="ar"/>
              </w:rPr>
              <w:t xml:space="preserve">P＝ （有效响应报价-评审基准价）/评审基准价×100% </w:t>
            </w:r>
          </w:p>
          <w:p w14:paraId="7AE76B1A">
            <w:pPr>
              <w:widowControl/>
              <w:ind w:firstLine="210" w:firstLineChars="100"/>
              <w:jc w:val="left"/>
              <w:rPr>
                <w:rFonts w:hint="eastAsia" w:ascii="宋体" w:hAnsi="宋体" w:cs="宋体"/>
                <w:szCs w:val="21"/>
              </w:rPr>
            </w:pPr>
            <w:r>
              <w:rPr>
                <w:rFonts w:hint="eastAsia" w:ascii="宋体" w:hAnsi="宋体" w:cs="宋体"/>
                <w:kern w:val="0"/>
                <w:szCs w:val="21"/>
                <w:lang w:bidi="ar"/>
              </w:rPr>
              <w:t xml:space="preserve">5）有效响应报价与评审基准价相比，则各有效供应商的商务标得分按以下方法计算： </w:t>
            </w:r>
          </w:p>
          <w:p w14:paraId="68E338FB">
            <w:pPr>
              <w:widowControl/>
              <w:jc w:val="left"/>
              <w:rPr>
                <w:rFonts w:hint="eastAsia" w:ascii="宋体" w:hAnsi="宋体" w:cs="宋体"/>
                <w:kern w:val="0"/>
                <w:szCs w:val="21"/>
                <w:lang w:bidi="ar"/>
              </w:rPr>
            </w:pPr>
            <w:r>
              <w:rPr>
                <w:rFonts w:hint="eastAsia" w:ascii="宋体" w:hAnsi="宋体" w:cs="宋体"/>
                <w:kern w:val="0"/>
                <w:szCs w:val="21"/>
                <w:lang w:bidi="ar"/>
              </w:rPr>
              <w:t xml:space="preserve">当 P≥0 时，得分=35-P*100×1 </w:t>
            </w:r>
          </w:p>
          <w:p w14:paraId="1AEE62E8">
            <w:pPr>
              <w:pStyle w:val="6"/>
              <w:keepNext w:val="0"/>
              <w:keepLines w:val="0"/>
              <w:widowControl/>
              <w:numPr>
                <w:ilvl w:val="0"/>
                <w:numId w:val="0"/>
              </w:numPr>
              <w:wordWrap w:val="0"/>
              <w:spacing w:before="0" w:after="0" w:line="240" w:lineRule="auto"/>
              <w:outlineLvl w:val="0"/>
              <w:rPr>
                <w:rFonts w:hint="eastAsia" w:ascii="宋体" w:hAnsi="宋体" w:cs="宋体"/>
                <w:kern w:val="0"/>
                <w:sz w:val="21"/>
                <w:szCs w:val="21"/>
                <w:lang w:bidi="ar"/>
              </w:rPr>
            </w:pPr>
            <w:r>
              <w:rPr>
                <w:rFonts w:hint="eastAsia" w:ascii="宋体" w:hAnsi="宋体" w:cs="宋体"/>
                <w:b w:val="0"/>
                <w:bCs w:val="0"/>
                <w:kern w:val="0"/>
                <w:sz w:val="21"/>
                <w:szCs w:val="21"/>
                <w:lang w:bidi="ar"/>
              </w:rPr>
              <w:t>当 P</w:t>
            </w:r>
            <w:r>
              <w:rPr>
                <w:rFonts w:hint="eastAsia" w:ascii="宋体" w:hAnsi="宋体" w:cs="宋体"/>
                <w:b w:val="0"/>
                <w:bCs w:val="0"/>
                <w:sz w:val="21"/>
                <w:szCs w:val="21"/>
              </w:rPr>
              <w:t>&lt;</w:t>
            </w:r>
            <w:r>
              <w:rPr>
                <w:rFonts w:hint="eastAsia" w:ascii="宋体" w:hAnsi="宋体" w:cs="宋体"/>
                <w:b w:val="0"/>
                <w:bCs w:val="0"/>
                <w:kern w:val="0"/>
                <w:sz w:val="21"/>
                <w:szCs w:val="21"/>
                <w:lang w:bidi="ar"/>
              </w:rPr>
              <w:t>0 时，得分=35+P*100×0.5</w:t>
            </w:r>
            <w:r>
              <w:rPr>
                <w:rFonts w:hint="eastAsia" w:ascii="宋体" w:hAnsi="宋体" w:cs="宋体"/>
                <w:kern w:val="0"/>
                <w:sz w:val="21"/>
                <w:szCs w:val="21"/>
                <w:lang w:bidi="ar"/>
              </w:rPr>
              <w:t xml:space="preserve"> </w:t>
            </w:r>
          </w:p>
          <w:p w14:paraId="17384CA2">
            <w:pPr>
              <w:spacing w:line="360" w:lineRule="auto"/>
              <w:ind w:firstLine="420" w:firstLineChars="200"/>
              <w:jc w:val="left"/>
              <w:rPr>
                <w:rFonts w:hint="eastAsia" w:ascii="宋体" w:hAnsi="宋体" w:cs="宋体"/>
                <w:bCs/>
                <w:sz w:val="24"/>
                <w:szCs w:val="20"/>
              </w:rPr>
            </w:pPr>
            <w:r>
              <w:rPr>
                <w:rFonts w:hint="eastAsia" w:ascii="宋体" w:hAnsi="宋体" w:cs="宋体"/>
                <w:kern w:val="0"/>
                <w:szCs w:val="21"/>
                <w:lang w:bidi="ar"/>
              </w:rPr>
              <w:t>注：计算得分保留 2 位小数，第三位四舍五入。</w:t>
            </w:r>
          </w:p>
        </w:tc>
        <w:tc>
          <w:tcPr>
            <w:tcW w:w="1319" w:type="dxa"/>
            <w:tcBorders>
              <w:top w:val="single" w:color="auto" w:sz="4" w:space="0"/>
              <w:left w:val="single" w:color="auto" w:sz="4" w:space="0"/>
              <w:bottom w:val="single" w:color="auto" w:sz="4" w:space="0"/>
              <w:right w:val="single" w:color="auto" w:sz="4" w:space="0"/>
            </w:tcBorders>
            <w:noWrap w:val="0"/>
            <w:vAlign w:val="center"/>
          </w:tcPr>
          <w:p w14:paraId="273D22CC">
            <w:pPr>
              <w:snapToGrid w:val="0"/>
              <w:spacing w:line="320" w:lineRule="exact"/>
              <w:jc w:val="center"/>
              <w:rPr>
                <w:rFonts w:hint="eastAsia" w:ascii="宋体" w:hAnsi="宋体" w:cs="宋体"/>
                <w:sz w:val="24"/>
              </w:rPr>
            </w:pPr>
            <w:r>
              <w:rPr>
                <w:rFonts w:hint="eastAsia" w:ascii="宋体" w:hAnsi="宋体" w:cs="宋体"/>
                <w:sz w:val="24"/>
              </w:rPr>
              <w:t>0-35分</w:t>
            </w:r>
          </w:p>
        </w:tc>
        <w:tc>
          <w:tcPr>
            <w:tcW w:w="465" w:type="dxa"/>
            <w:tcBorders>
              <w:top w:val="single" w:color="auto" w:sz="4" w:space="0"/>
              <w:left w:val="single" w:color="auto" w:sz="4" w:space="0"/>
              <w:bottom w:val="single" w:color="auto" w:sz="4" w:space="0"/>
              <w:right w:val="single" w:color="auto" w:sz="4" w:space="0"/>
            </w:tcBorders>
            <w:noWrap w:val="0"/>
            <w:vAlign w:val="center"/>
          </w:tcPr>
          <w:p w14:paraId="1201FFB7">
            <w:pPr>
              <w:snapToGrid w:val="0"/>
              <w:spacing w:line="320" w:lineRule="exact"/>
              <w:jc w:val="center"/>
              <w:rPr>
                <w:rFonts w:hint="eastAsia" w:ascii="宋体" w:hAnsi="宋体" w:cs="宋体"/>
                <w:sz w:val="24"/>
              </w:rPr>
            </w:pPr>
          </w:p>
        </w:tc>
        <w:tc>
          <w:tcPr>
            <w:tcW w:w="480" w:type="dxa"/>
            <w:tcBorders>
              <w:top w:val="single" w:color="auto" w:sz="4" w:space="0"/>
              <w:left w:val="single" w:color="auto" w:sz="4" w:space="0"/>
              <w:bottom w:val="single" w:color="auto" w:sz="4" w:space="0"/>
              <w:right w:val="single" w:color="auto" w:sz="4" w:space="0"/>
            </w:tcBorders>
            <w:noWrap w:val="0"/>
            <w:vAlign w:val="center"/>
          </w:tcPr>
          <w:p w14:paraId="22DF4817">
            <w:pPr>
              <w:snapToGrid w:val="0"/>
              <w:spacing w:line="320" w:lineRule="exact"/>
              <w:jc w:val="center"/>
              <w:rPr>
                <w:rFonts w:hint="eastAsia" w:ascii="宋体" w:hAnsi="宋体" w:cs="宋体"/>
                <w:sz w:val="24"/>
              </w:rPr>
            </w:pPr>
          </w:p>
        </w:tc>
        <w:tc>
          <w:tcPr>
            <w:tcW w:w="477" w:type="dxa"/>
            <w:tcBorders>
              <w:top w:val="single" w:color="auto" w:sz="4" w:space="0"/>
              <w:left w:val="single" w:color="auto" w:sz="4" w:space="0"/>
              <w:bottom w:val="single" w:color="auto" w:sz="4" w:space="0"/>
              <w:right w:val="single" w:color="auto" w:sz="4" w:space="0"/>
            </w:tcBorders>
            <w:noWrap w:val="0"/>
            <w:vAlign w:val="center"/>
          </w:tcPr>
          <w:p w14:paraId="69CBD1AF">
            <w:pPr>
              <w:snapToGrid w:val="0"/>
              <w:spacing w:line="320" w:lineRule="exact"/>
              <w:jc w:val="center"/>
              <w:rPr>
                <w:rFonts w:hint="eastAsia" w:ascii="宋体" w:hAnsi="宋体" w:cs="宋体"/>
                <w:sz w:val="24"/>
              </w:rPr>
            </w:pPr>
          </w:p>
        </w:tc>
        <w:tc>
          <w:tcPr>
            <w:tcW w:w="510" w:type="dxa"/>
            <w:tcBorders>
              <w:top w:val="single" w:color="auto" w:sz="4" w:space="0"/>
              <w:left w:val="single" w:color="auto" w:sz="4" w:space="0"/>
              <w:bottom w:val="single" w:color="auto" w:sz="4" w:space="0"/>
              <w:right w:val="single" w:color="auto" w:sz="4" w:space="0"/>
            </w:tcBorders>
            <w:noWrap w:val="0"/>
            <w:vAlign w:val="center"/>
          </w:tcPr>
          <w:p w14:paraId="6F01D5C3">
            <w:pPr>
              <w:snapToGrid w:val="0"/>
              <w:spacing w:line="320" w:lineRule="exact"/>
              <w:jc w:val="center"/>
              <w:rPr>
                <w:rFonts w:hint="eastAsia" w:ascii="宋体" w:hAnsi="宋体" w:cs="宋体"/>
                <w:sz w:val="24"/>
              </w:rPr>
            </w:pPr>
          </w:p>
        </w:tc>
        <w:tc>
          <w:tcPr>
            <w:tcW w:w="483" w:type="dxa"/>
            <w:tcBorders>
              <w:top w:val="single" w:color="auto" w:sz="4" w:space="0"/>
              <w:left w:val="single" w:color="auto" w:sz="4" w:space="0"/>
              <w:bottom w:val="single" w:color="auto" w:sz="4" w:space="0"/>
              <w:right w:val="single" w:color="auto" w:sz="4" w:space="0"/>
            </w:tcBorders>
            <w:noWrap w:val="0"/>
            <w:vAlign w:val="center"/>
          </w:tcPr>
          <w:p w14:paraId="2E8BBE03">
            <w:pPr>
              <w:snapToGrid w:val="0"/>
              <w:spacing w:line="320" w:lineRule="exact"/>
              <w:jc w:val="center"/>
              <w:rPr>
                <w:rFonts w:hint="eastAsia" w:ascii="宋体" w:hAnsi="宋体" w:cs="宋体"/>
                <w:sz w:val="24"/>
              </w:rPr>
            </w:pPr>
          </w:p>
        </w:tc>
      </w:tr>
      <w:tr w14:paraId="6D09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28" w:type="dxa"/>
            <w:tcBorders>
              <w:top w:val="single" w:color="auto" w:sz="4" w:space="0"/>
              <w:left w:val="single" w:color="auto" w:sz="4" w:space="0"/>
              <w:bottom w:val="single" w:color="auto" w:sz="4" w:space="0"/>
              <w:right w:val="single" w:color="auto" w:sz="4" w:space="0"/>
            </w:tcBorders>
            <w:noWrap w:val="0"/>
            <w:vAlign w:val="center"/>
          </w:tcPr>
          <w:p w14:paraId="3EF197AF">
            <w:pPr>
              <w:snapToGrid w:val="0"/>
              <w:spacing w:line="320" w:lineRule="exact"/>
              <w:jc w:val="center"/>
              <w:rPr>
                <w:rFonts w:hint="eastAsia" w:ascii="宋体" w:hAnsi="宋体" w:cs="宋体"/>
                <w:sz w:val="24"/>
              </w:rPr>
            </w:pPr>
            <w:r>
              <w:rPr>
                <w:rFonts w:hint="eastAsia" w:ascii="宋体" w:hAnsi="宋体" w:cs="宋体"/>
                <w:sz w:val="24"/>
              </w:rPr>
              <w:t>2</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AF44F9C">
            <w:pPr>
              <w:snapToGrid w:val="0"/>
              <w:spacing w:line="320" w:lineRule="exact"/>
              <w:jc w:val="center"/>
              <w:rPr>
                <w:rFonts w:hint="eastAsia" w:ascii="宋体" w:hAnsi="宋体" w:cs="宋体"/>
                <w:sz w:val="24"/>
              </w:rPr>
            </w:pPr>
            <w:r>
              <w:rPr>
                <w:rFonts w:hint="eastAsia" w:ascii="宋体" w:hAnsi="宋体" w:cs="宋体"/>
                <w:sz w:val="24"/>
              </w:rPr>
              <w:t>合计</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2818B53C">
            <w:pPr>
              <w:spacing w:line="360" w:lineRule="auto"/>
              <w:ind w:firstLine="480" w:firstLineChars="200"/>
              <w:jc w:val="left"/>
              <w:rPr>
                <w:rFonts w:hint="eastAsia" w:ascii="宋体" w:hAnsi="宋体" w:cs="宋体"/>
                <w:sz w:val="24"/>
              </w:rPr>
            </w:pPr>
          </w:p>
        </w:tc>
        <w:tc>
          <w:tcPr>
            <w:tcW w:w="1319" w:type="dxa"/>
            <w:tcBorders>
              <w:top w:val="single" w:color="auto" w:sz="4" w:space="0"/>
              <w:left w:val="single" w:color="auto" w:sz="4" w:space="0"/>
              <w:right w:val="single" w:color="auto" w:sz="4" w:space="0"/>
            </w:tcBorders>
            <w:noWrap w:val="0"/>
            <w:vAlign w:val="center"/>
          </w:tcPr>
          <w:p w14:paraId="13054671">
            <w:pPr>
              <w:snapToGrid w:val="0"/>
              <w:spacing w:line="320" w:lineRule="exact"/>
              <w:jc w:val="center"/>
              <w:rPr>
                <w:rFonts w:ascii="宋体" w:hAnsi="宋体" w:cs="宋体"/>
                <w:sz w:val="24"/>
              </w:rPr>
            </w:pPr>
            <w:r>
              <w:rPr>
                <w:rFonts w:hint="eastAsia" w:ascii="宋体" w:hAnsi="宋体" w:cs="宋体"/>
                <w:sz w:val="24"/>
              </w:rPr>
              <w:t>0-35分</w:t>
            </w:r>
          </w:p>
        </w:tc>
        <w:tc>
          <w:tcPr>
            <w:tcW w:w="465" w:type="dxa"/>
            <w:tcBorders>
              <w:top w:val="single" w:color="auto" w:sz="4" w:space="0"/>
              <w:left w:val="single" w:color="auto" w:sz="4" w:space="0"/>
              <w:right w:val="single" w:color="auto" w:sz="4" w:space="0"/>
            </w:tcBorders>
            <w:noWrap w:val="0"/>
            <w:vAlign w:val="center"/>
          </w:tcPr>
          <w:p w14:paraId="207EB825">
            <w:pPr>
              <w:snapToGrid w:val="0"/>
              <w:spacing w:line="320" w:lineRule="exact"/>
              <w:jc w:val="center"/>
              <w:rPr>
                <w:rFonts w:hint="eastAsia" w:ascii="宋体" w:hAnsi="宋体" w:cs="宋体"/>
                <w:sz w:val="24"/>
              </w:rPr>
            </w:pPr>
          </w:p>
        </w:tc>
        <w:tc>
          <w:tcPr>
            <w:tcW w:w="480" w:type="dxa"/>
            <w:tcBorders>
              <w:top w:val="single" w:color="auto" w:sz="4" w:space="0"/>
              <w:left w:val="single" w:color="auto" w:sz="4" w:space="0"/>
              <w:right w:val="single" w:color="auto" w:sz="4" w:space="0"/>
            </w:tcBorders>
            <w:noWrap w:val="0"/>
            <w:vAlign w:val="center"/>
          </w:tcPr>
          <w:p w14:paraId="6171162E">
            <w:pPr>
              <w:snapToGrid w:val="0"/>
              <w:spacing w:line="320" w:lineRule="exact"/>
              <w:jc w:val="center"/>
              <w:rPr>
                <w:rFonts w:hint="eastAsia" w:ascii="宋体" w:hAnsi="宋体" w:cs="宋体"/>
                <w:sz w:val="24"/>
              </w:rPr>
            </w:pPr>
          </w:p>
        </w:tc>
        <w:tc>
          <w:tcPr>
            <w:tcW w:w="477" w:type="dxa"/>
            <w:tcBorders>
              <w:top w:val="single" w:color="auto" w:sz="4" w:space="0"/>
              <w:left w:val="single" w:color="auto" w:sz="4" w:space="0"/>
              <w:right w:val="single" w:color="auto" w:sz="4" w:space="0"/>
            </w:tcBorders>
            <w:noWrap w:val="0"/>
            <w:vAlign w:val="center"/>
          </w:tcPr>
          <w:p w14:paraId="7900E880">
            <w:pPr>
              <w:snapToGrid w:val="0"/>
              <w:spacing w:line="320" w:lineRule="exact"/>
              <w:jc w:val="center"/>
              <w:rPr>
                <w:rFonts w:hint="eastAsia" w:ascii="宋体" w:hAnsi="宋体" w:cs="宋体"/>
                <w:sz w:val="24"/>
              </w:rPr>
            </w:pPr>
          </w:p>
        </w:tc>
        <w:tc>
          <w:tcPr>
            <w:tcW w:w="510" w:type="dxa"/>
            <w:tcBorders>
              <w:top w:val="single" w:color="auto" w:sz="4" w:space="0"/>
              <w:left w:val="single" w:color="auto" w:sz="4" w:space="0"/>
              <w:right w:val="single" w:color="auto" w:sz="4" w:space="0"/>
            </w:tcBorders>
            <w:noWrap w:val="0"/>
            <w:vAlign w:val="center"/>
          </w:tcPr>
          <w:p w14:paraId="406EEF4B">
            <w:pPr>
              <w:snapToGrid w:val="0"/>
              <w:spacing w:line="320" w:lineRule="exact"/>
              <w:jc w:val="center"/>
              <w:rPr>
                <w:rFonts w:hint="eastAsia" w:ascii="宋体" w:hAnsi="宋体" w:cs="宋体"/>
                <w:sz w:val="24"/>
              </w:rPr>
            </w:pPr>
          </w:p>
        </w:tc>
        <w:tc>
          <w:tcPr>
            <w:tcW w:w="483" w:type="dxa"/>
            <w:tcBorders>
              <w:top w:val="single" w:color="auto" w:sz="4" w:space="0"/>
              <w:left w:val="single" w:color="auto" w:sz="4" w:space="0"/>
              <w:right w:val="single" w:color="auto" w:sz="4" w:space="0"/>
            </w:tcBorders>
            <w:noWrap w:val="0"/>
            <w:vAlign w:val="center"/>
          </w:tcPr>
          <w:p w14:paraId="57744D50">
            <w:pPr>
              <w:snapToGrid w:val="0"/>
              <w:spacing w:line="320" w:lineRule="exact"/>
              <w:jc w:val="center"/>
              <w:rPr>
                <w:rFonts w:hint="eastAsia" w:ascii="宋体" w:hAnsi="宋体" w:cs="宋体"/>
                <w:sz w:val="24"/>
              </w:rPr>
            </w:pPr>
          </w:p>
        </w:tc>
      </w:tr>
    </w:tbl>
    <w:p w14:paraId="39AB00CC">
      <w:pPr>
        <w:spacing w:line="360" w:lineRule="auto"/>
        <w:rPr>
          <w:rFonts w:ascii="宋体" w:hAnsi="宋体"/>
          <w:b/>
          <w:sz w:val="24"/>
          <w:szCs w:val="20"/>
        </w:rPr>
      </w:pPr>
      <w:r>
        <w:rPr>
          <w:rFonts w:hint="eastAsia" w:ascii="宋体" w:hAnsi="宋体"/>
          <w:b/>
          <w:sz w:val="24"/>
          <w:szCs w:val="20"/>
        </w:rPr>
        <w:t>4、投标人总得分</w:t>
      </w:r>
    </w:p>
    <w:p w14:paraId="23C4DB78">
      <w:pPr>
        <w:spacing w:line="360" w:lineRule="auto"/>
        <w:ind w:firstLine="480" w:firstLineChars="200"/>
        <w:rPr>
          <w:rFonts w:ascii="宋体" w:hAnsi="宋体"/>
          <w:snapToGrid w:val="0"/>
          <w:kern w:val="0"/>
          <w:sz w:val="24"/>
          <w:szCs w:val="20"/>
        </w:rPr>
      </w:pPr>
      <w:r>
        <w:rPr>
          <w:rFonts w:hint="eastAsia" w:ascii="宋体" w:hAnsi="宋体"/>
          <w:snapToGrid w:val="0"/>
          <w:kern w:val="0"/>
          <w:sz w:val="24"/>
          <w:szCs w:val="20"/>
        </w:rPr>
        <w:t>投标人总得分=详细评审得分+商务报价得分。</w:t>
      </w:r>
    </w:p>
    <w:p w14:paraId="7B563A25">
      <w:pPr>
        <w:spacing w:line="360" w:lineRule="auto"/>
        <w:rPr>
          <w:rFonts w:ascii="宋体" w:hAnsi="宋体"/>
          <w:b/>
          <w:sz w:val="24"/>
          <w:szCs w:val="20"/>
        </w:rPr>
      </w:pPr>
      <w:r>
        <w:rPr>
          <w:rFonts w:hint="eastAsia" w:ascii="宋体" w:hAnsi="宋体"/>
          <w:b/>
          <w:sz w:val="24"/>
          <w:szCs w:val="20"/>
        </w:rPr>
        <w:t>5、中标候选人的确定</w:t>
      </w:r>
    </w:p>
    <w:p w14:paraId="61435052">
      <w:pPr>
        <w:spacing w:line="360" w:lineRule="auto"/>
        <w:ind w:firstLine="480" w:firstLineChars="200"/>
        <w:rPr>
          <w:rFonts w:ascii="宋体" w:hAnsi="宋体"/>
          <w:bCs/>
          <w:snapToGrid w:val="0"/>
          <w:kern w:val="0"/>
          <w:sz w:val="24"/>
          <w:szCs w:val="20"/>
        </w:rPr>
      </w:pPr>
      <w:r>
        <w:rPr>
          <w:rFonts w:hint="eastAsia" w:ascii="宋体" w:hAnsi="宋体"/>
          <w:snapToGrid w:val="0"/>
          <w:kern w:val="0"/>
          <w:sz w:val="24"/>
          <w:szCs w:val="20"/>
        </w:rPr>
        <w:t>评标委员会经过评审后，根据各投标人总得分第一名的投标人为中标人。如出现得分相同时，再比较他们的投标报价，报价低者优先。</w:t>
      </w:r>
    </w:p>
    <w:bookmarkEnd w:id="0"/>
    <w:bookmarkEnd w:id="1"/>
    <w:bookmarkEnd w:id="2"/>
    <w:bookmarkEnd w:id="3"/>
    <w:bookmarkEnd w:id="4"/>
    <w:p w14:paraId="51986DFB">
      <w:pPr>
        <w:widowControl/>
        <w:spacing w:line="450" w:lineRule="atLeast"/>
        <w:jc w:val="left"/>
        <w:rPr>
          <w:rFonts w:hint="eastAsia" w:ascii="宋体" w:hAnsi="宋体" w:cs="宋体"/>
          <w:b/>
          <w:bCs/>
          <w:color w:val="333333"/>
          <w:kern w:val="0"/>
          <w:sz w:val="24"/>
          <w:shd w:val="clear" w:color="auto" w:fill="FFFFFF"/>
          <w:lang w:bidi="ar"/>
        </w:rPr>
      </w:pPr>
    </w:p>
    <w:p w14:paraId="04FCA016">
      <w:pPr>
        <w:widowControl/>
        <w:spacing w:line="450" w:lineRule="atLeast"/>
        <w:jc w:val="left"/>
        <w:rPr>
          <w:rFonts w:hint="eastAsia" w:ascii="宋体" w:hAnsi="宋体" w:cs="宋体"/>
          <w:b/>
          <w:bCs/>
        </w:rPr>
      </w:pPr>
      <w:r>
        <w:rPr>
          <w:rFonts w:hint="eastAsia" w:ascii="宋体" w:hAnsi="宋体" w:cs="宋体"/>
          <w:b/>
          <w:bCs/>
          <w:color w:val="333333"/>
          <w:kern w:val="0"/>
          <w:sz w:val="24"/>
          <w:shd w:val="clear" w:color="auto" w:fill="FFFFFF"/>
          <w:lang w:bidi="ar"/>
        </w:rPr>
        <w:t>6、比选分值统计表</w:t>
      </w:r>
    </w:p>
    <w:tbl>
      <w:tblPr>
        <w:tblStyle w:val="10"/>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1007"/>
        <w:gridCol w:w="4422"/>
        <w:gridCol w:w="1253"/>
        <w:gridCol w:w="1120"/>
        <w:gridCol w:w="985"/>
        <w:gridCol w:w="1269"/>
      </w:tblGrid>
      <w:tr w14:paraId="659ADD3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9"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44AEB80E">
            <w:pPr>
              <w:widowControl/>
              <w:spacing w:line="450" w:lineRule="atLeast"/>
              <w:rPr>
                <w:rFonts w:hint="eastAsia" w:ascii="宋体" w:hAnsi="宋体" w:cs="宋体"/>
              </w:rPr>
            </w:pPr>
            <w:r>
              <w:rPr>
                <w:rFonts w:hint="eastAsia" w:ascii="宋体" w:hAnsi="宋体" w:cs="宋体"/>
                <w:color w:val="333333"/>
                <w:kern w:val="0"/>
                <w:sz w:val="24"/>
                <w:lang w:bidi="ar"/>
              </w:rPr>
              <w:t>项目编号</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796B1A68">
            <w:pPr>
              <w:widowControl/>
              <w:spacing w:line="450" w:lineRule="atLeast"/>
              <w:ind w:firstLine="420"/>
              <w:jc w:val="center"/>
              <w:rPr>
                <w:rFonts w:hint="eastAsia" w:ascii="宋体" w:hAnsi="宋体" w:cs="宋体"/>
              </w:rPr>
            </w:pPr>
            <w:r>
              <w:rPr>
                <w:rFonts w:hint="eastAsia" w:ascii="宋体" w:hAnsi="宋体" w:cs="宋体"/>
                <w:color w:val="333333"/>
                <w:kern w:val="0"/>
                <w:sz w:val="24"/>
                <w:lang w:bidi="ar"/>
              </w:rPr>
              <w:t>投标单位名称</w:t>
            </w:r>
          </w:p>
        </w:tc>
        <w:tc>
          <w:tcPr>
            <w:tcW w:w="1253" w:type="dxa"/>
            <w:tcBorders>
              <w:top w:val="single" w:color="auto" w:sz="8" w:space="0"/>
              <w:left w:val="single" w:color="auto" w:sz="8" w:space="0"/>
              <w:bottom w:val="single" w:color="auto" w:sz="8" w:space="0"/>
              <w:right w:val="single" w:color="auto" w:sz="8" w:space="0"/>
            </w:tcBorders>
            <w:noWrap w:val="0"/>
            <w:vAlign w:val="center"/>
          </w:tcPr>
          <w:p w14:paraId="1E018815">
            <w:pPr>
              <w:widowControl/>
              <w:spacing w:line="450" w:lineRule="atLeast"/>
              <w:ind w:firstLine="240" w:firstLineChars="100"/>
              <w:rPr>
                <w:rFonts w:hint="eastAsia" w:ascii="宋体" w:hAnsi="宋体" w:cs="宋体"/>
              </w:rPr>
            </w:pPr>
            <w:r>
              <w:rPr>
                <w:rFonts w:hint="eastAsia" w:ascii="宋体" w:hAnsi="宋体" w:cs="宋体"/>
                <w:color w:val="333333"/>
                <w:kern w:val="0"/>
                <w:sz w:val="24"/>
                <w:lang w:bidi="ar"/>
              </w:rPr>
              <w:t>技术分</w:t>
            </w:r>
          </w:p>
        </w:tc>
        <w:tc>
          <w:tcPr>
            <w:tcW w:w="1120" w:type="dxa"/>
            <w:tcBorders>
              <w:top w:val="single" w:color="auto" w:sz="8" w:space="0"/>
              <w:left w:val="single" w:color="auto" w:sz="8" w:space="0"/>
              <w:bottom w:val="single" w:color="auto" w:sz="8" w:space="0"/>
              <w:right w:val="single" w:color="auto" w:sz="8" w:space="0"/>
            </w:tcBorders>
            <w:noWrap w:val="0"/>
            <w:vAlign w:val="center"/>
          </w:tcPr>
          <w:p w14:paraId="57584CDF">
            <w:pPr>
              <w:widowControl/>
              <w:spacing w:line="450" w:lineRule="atLeast"/>
              <w:ind w:firstLine="240" w:firstLineChars="100"/>
              <w:rPr>
                <w:rFonts w:hint="eastAsia" w:ascii="宋体" w:hAnsi="宋体" w:cs="宋体"/>
              </w:rPr>
            </w:pPr>
            <w:r>
              <w:rPr>
                <w:rFonts w:hint="eastAsia" w:ascii="宋体" w:hAnsi="宋体" w:cs="宋体"/>
                <w:color w:val="333333"/>
                <w:kern w:val="0"/>
                <w:sz w:val="24"/>
                <w:lang w:bidi="ar"/>
              </w:rPr>
              <w:t>价格分</w:t>
            </w:r>
          </w:p>
        </w:tc>
        <w:tc>
          <w:tcPr>
            <w:tcW w:w="985" w:type="dxa"/>
            <w:tcBorders>
              <w:top w:val="single" w:color="auto" w:sz="8" w:space="0"/>
              <w:left w:val="single" w:color="auto" w:sz="8" w:space="0"/>
              <w:bottom w:val="single" w:color="auto" w:sz="8" w:space="0"/>
              <w:right w:val="single" w:color="auto" w:sz="8" w:space="0"/>
            </w:tcBorders>
            <w:noWrap w:val="0"/>
            <w:vAlign w:val="center"/>
          </w:tcPr>
          <w:p w14:paraId="680B774B">
            <w:pPr>
              <w:widowControl/>
              <w:spacing w:line="450" w:lineRule="atLeast"/>
              <w:ind w:firstLine="240" w:firstLineChars="100"/>
              <w:rPr>
                <w:rFonts w:hint="eastAsia" w:ascii="宋体" w:hAnsi="宋体" w:cs="宋体"/>
              </w:rPr>
            </w:pPr>
            <w:r>
              <w:rPr>
                <w:rFonts w:hint="eastAsia" w:ascii="宋体" w:hAnsi="宋体" w:cs="宋体"/>
                <w:color w:val="333333"/>
                <w:kern w:val="0"/>
                <w:sz w:val="24"/>
                <w:lang w:bidi="ar"/>
              </w:rPr>
              <w:t>总分</w:t>
            </w:r>
          </w:p>
        </w:tc>
        <w:tc>
          <w:tcPr>
            <w:tcW w:w="1269" w:type="dxa"/>
            <w:tcBorders>
              <w:top w:val="single" w:color="auto" w:sz="8" w:space="0"/>
              <w:left w:val="single" w:color="auto" w:sz="8" w:space="0"/>
              <w:bottom w:val="single" w:color="auto" w:sz="8" w:space="0"/>
              <w:right w:val="single" w:color="auto" w:sz="8" w:space="0"/>
            </w:tcBorders>
            <w:noWrap w:val="0"/>
            <w:vAlign w:val="center"/>
          </w:tcPr>
          <w:p w14:paraId="7435ECA2">
            <w:pPr>
              <w:widowControl/>
              <w:spacing w:line="450" w:lineRule="atLeast"/>
              <w:ind w:firstLine="240" w:firstLineChars="100"/>
              <w:rPr>
                <w:rFonts w:hint="eastAsia" w:ascii="宋体" w:hAnsi="宋体" w:cs="宋体"/>
              </w:rPr>
            </w:pPr>
            <w:r>
              <w:rPr>
                <w:rFonts w:hint="eastAsia" w:ascii="宋体" w:hAnsi="宋体" w:cs="宋体"/>
                <w:color w:val="333333"/>
                <w:kern w:val="0"/>
                <w:sz w:val="24"/>
                <w:lang w:bidi="ar"/>
              </w:rPr>
              <w:t>投标报价</w:t>
            </w:r>
          </w:p>
        </w:tc>
      </w:tr>
      <w:tr w14:paraId="36EA094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8"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7EC3338D">
            <w:pPr>
              <w:widowControl/>
              <w:spacing w:line="450" w:lineRule="atLeast"/>
              <w:ind w:firstLine="420"/>
              <w:rPr>
                <w:rFonts w:hint="eastAsia" w:ascii="宋体" w:hAnsi="宋体" w:cs="宋体"/>
              </w:rPr>
            </w:pPr>
            <w:r>
              <w:rPr>
                <w:rFonts w:hint="eastAsia" w:ascii="宋体" w:hAnsi="宋体" w:cs="宋体"/>
                <w:color w:val="333333"/>
                <w:kern w:val="0"/>
                <w:sz w:val="24"/>
                <w:lang w:bidi="ar"/>
              </w:rPr>
              <w:t>01</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7EAF4E37">
            <w:pPr>
              <w:ind w:firstLine="210" w:firstLineChars="100"/>
              <w:rPr>
                <w:rFonts w:ascii="宋体" w:hAnsi="宋体" w:cs="宋体"/>
                <w:szCs w:val="21"/>
              </w:rPr>
            </w:pPr>
          </w:p>
        </w:tc>
        <w:tc>
          <w:tcPr>
            <w:tcW w:w="1253" w:type="dxa"/>
            <w:tcBorders>
              <w:top w:val="single" w:color="auto" w:sz="8" w:space="0"/>
              <w:left w:val="single" w:color="auto" w:sz="8" w:space="0"/>
              <w:bottom w:val="single" w:color="auto" w:sz="8" w:space="0"/>
              <w:right w:val="single" w:color="auto" w:sz="8" w:space="0"/>
            </w:tcBorders>
            <w:noWrap w:val="0"/>
            <w:vAlign w:val="center"/>
          </w:tcPr>
          <w:p w14:paraId="48CC69DF">
            <w:pPr>
              <w:rPr>
                <w:rFonts w:hint="eastAsia" w:ascii="宋体" w:hAnsi="宋体" w:cs="宋体"/>
                <w:szCs w:val="21"/>
              </w:rPr>
            </w:pPr>
          </w:p>
        </w:tc>
        <w:tc>
          <w:tcPr>
            <w:tcW w:w="1120" w:type="dxa"/>
            <w:tcBorders>
              <w:top w:val="single" w:color="auto" w:sz="8" w:space="0"/>
              <w:left w:val="single" w:color="auto" w:sz="8" w:space="0"/>
              <w:bottom w:val="single" w:color="auto" w:sz="8" w:space="0"/>
              <w:right w:val="single" w:color="auto" w:sz="8" w:space="0"/>
            </w:tcBorders>
            <w:noWrap w:val="0"/>
            <w:vAlign w:val="top"/>
          </w:tcPr>
          <w:p w14:paraId="1647DB00">
            <w:pPr>
              <w:rPr>
                <w:rFonts w:hint="eastAsia" w:ascii="宋体" w:hAnsi="宋体" w:cs="宋体"/>
                <w:szCs w:val="21"/>
              </w:rPr>
            </w:pPr>
          </w:p>
        </w:tc>
        <w:tc>
          <w:tcPr>
            <w:tcW w:w="985" w:type="dxa"/>
            <w:tcBorders>
              <w:top w:val="single" w:color="auto" w:sz="8" w:space="0"/>
              <w:left w:val="single" w:color="auto" w:sz="8" w:space="0"/>
              <w:bottom w:val="single" w:color="auto" w:sz="8" w:space="0"/>
              <w:right w:val="single" w:color="auto" w:sz="8" w:space="0"/>
            </w:tcBorders>
            <w:noWrap w:val="0"/>
            <w:vAlign w:val="top"/>
          </w:tcPr>
          <w:p w14:paraId="1F0F652A">
            <w:pPr>
              <w:rPr>
                <w:rFonts w:hint="eastAsia" w:ascii="宋体" w:hAnsi="宋体" w:cs="宋体"/>
                <w:szCs w:val="21"/>
              </w:rPr>
            </w:pPr>
          </w:p>
        </w:tc>
        <w:tc>
          <w:tcPr>
            <w:tcW w:w="1269" w:type="dxa"/>
            <w:tcBorders>
              <w:top w:val="single" w:color="auto" w:sz="8" w:space="0"/>
              <w:left w:val="single" w:color="auto" w:sz="8" w:space="0"/>
              <w:bottom w:val="single" w:color="auto" w:sz="8" w:space="0"/>
              <w:right w:val="single" w:color="auto" w:sz="8" w:space="0"/>
            </w:tcBorders>
            <w:noWrap w:val="0"/>
            <w:vAlign w:val="top"/>
          </w:tcPr>
          <w:p w14:paraId="7818446E">
            <w:pPr>
              <w:rPr>
                <w:rFonts w:hint="eastAsia" w:ascii="宋体" w:hAnsi="宋体" w:cs="宋体"/>
                <w:szCs w:val="21"/>
              </w:rPr>
            </w:pPr>
          </w:p>
        </w:tc>
      </w:tr>
      <w:tr w14:paraId="2EA673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9"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26B043A5">
            <w:pPr>
              <w:widowControl/>
              <w:spacing w:line="450" w:lineRule="atLeast"/>
              <w:ind w:firstLine="420"/>
              <w:rPr>
                <w:rFonts w:hint="eastAsia" w:ascii="宋体" w:hAnsi="宋体" w:cs="宋体"/>
              </w:rPr>
            </w:pPr>
            <w:r>
              <w:rPr>
                <w:rFonts w:hint="eastAsia" w:ascii="宋体" w:hAnsi="宋体" w:cs="宋体"/>
                <w:color w:val="333333"/>
                <w:kern w:val="0"/>
                <w:sz w:val="24"/>
                <w:lang w:bidi="ar"/>
              </w:rPr>
              <w:t>02</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5C8369ED">
            <w:pPr>
              <w:ind w:firstLine="210" w:firstLineChars="100"/>
              <w:rPr>
                <w:rFonts w:hint="eastAsia" w:ascii="宋体" w:hAnsi="宋体" w:cs="宋体"/>
                <w:szCs w:val="21"/>
              </w:rPr>
            </w:pPr>
          </w:p>
        </w:tc>
        <w:tc>
          <w:tcPr>
            <w:tcW w:w="1253" w:type="dxa"/>
            <w:tcBorders>
              <w:top w:val="single" w:color="auto" w:sz="8" w:space="0"/>
              <w:left w:val="single" w:color="auto" w:sz="8" w:space="0"/>
              <w:bottom w:val="single" w:color="auto" w:sz="8" w:space="0"/>
              <w:right w:val="single" w:color="auto" w:sz="8" w:space="0"/>
            </w:tcBorders>
            <w:noWrap w:val="0"/>
            <w:vAlign w:val="center"/>
          </w:tcPr>
          <w:p w14:paraId="4EDBBB86">
            <w:pPr>
              <w:rPr>
                <w:rFonts w:hint="eastAsia" w:ascii="宋体" w:hAnsi="宋体" w:cs="宋体"/>
                <w:szCs w:val="21"/>
              </w:rPr>
            </w:pPr>
          </w:p>
        </w:tc>
        <w:tc>
          <w:tcPr>
            <w:tcW w:w="1120" w:type="dxa"/>
            <w:tcBorders>
              <w:top w:val="single" w:color="auto" w:sz="8" w:space="0"/>
              <w:left w:val="single" w:color="auto" w:sz="8" w:space="0"/>
              <w:bottom w:val="single" w:color="auto" w:sz="8" w:space="0"/>
              <w:right w:val="single" w:color="auto" w:sz="8" w:space="0"/>
            </w:tcBorders>
            <w:noWrap w:val="0"/>
            <w:vAlign w:val="top"/>
          </w:tcPr>
          <w:p w14:paraId="5F35A2D6">
            <w:pPr>
              <w:rPr>
                <w:rFonts w:hint="eastAsia" w:ascii="宋体" w:hAnsi="宋体" w:cs="宋体"/>
                <w:szCs w:val="21"/>
              </w:rPr>
            </w:pPr>
          </w:p>
        </w:tc>
        <w:tc>
          <w:tcPr>
            <w:tcW w:w="985" w:type="dxa"/>
            <w:tcBorders>
              <w:top w:val="single" w:color="auto" w:sz="8" w:space="0"/>
              <w:left w:val="single" w:color="auto" w:sz="8" w:space="0"/>
              <w:bottom w:val="single" w:color="auto" w:sz="8" w:space="0"/>
              <w:right w:val="single" w:color="auto" w:sz="8" w:space="0"/>
            </w:tcBorders>
            <w:noWrap w:val="0"/>
            <w:vAlign w:val="top"/>
          </w:tcPr>
          <w:p w14:paraId="2D035E82">
            <w:pPr>
              <w:rPr>
                <w:rFonts w:hint="eastAsia" w:ascii="宋体" w:hAnsi="宋体" w:cs="宋体"/>
                <w:szCs w:val="21"/>
              </w:rPr>
            </w:pPr>
          </w:p>
        </w:tc>
        <w:tc>
          <w:tcPr>
            <w:tcW w:w="1269" w:type="dxa"/>
            <w:tcBorders>
              <w:top w:val="single" w:color="auto" w:sz="8" w:space="0"/>
              <w:left w:val="single" w:color="auto" w:sz="8" w:space="0"/>
              <w:bottom w:val="single" w:color="auto" w:sz="8" w:space="0"/>
              <w:right w:val="single" w:color="auto" w:sz="8" w:space="0"/>
            </w:tcBorders>
            <w:noWrap w:val="0"/>
            <w:vAlign w:val="top"/>
          </w:tcPr>
          <w:p w14:paraId="0A2030A1">
            <w:pPr>
              <w:rPr>
                <w:rFonts w:hint="eastAsia" w:ascii="宋体" w:hAnsi="宋体" w:cs="宋体"/>
                <w:szCs w:val="21"/>
              </w:rPr>
            </w:pPr>
          </w:p>
        </w:tc>
      </w:tr>
      <w:tr w14:paraId="61F769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7"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17BC26AE">
            <w:pPr>
              <w:widowControl/>
              <w:spacing w:line="450" w:lineRule="atLeast"/>
              <w:ind w:firstLine="420"/>
              <w:rPr>
                <w:rFonts w:hint="eastAsia" w:ascii="宋体" w:hAnsi="宋体" w:cs="宋体"/>
              </w:rPr>
            </w:pPr>
            <w:r>
              <w:rPr>
                <w:rFonts w:hint="eastAsia" w:ascii="宋体" w:hAnsi="宋体" w:cs="宋体"/>
                <w:color w:val="333333"/>
                <w:kern w:val="0"/>
                <w:sz w:val="24"/>
                <w:lang w:bidi="ar"/>
              </w:rPr>
              <w:t>03</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5B396DBC">
            <w:pPr>
              <w:ind w:firstLine="210" w:firstLineChars="100"/>
              <w:rPr>
                <w:rFonts w:ascii="宋体" w:hAnsi="宋体" w:cs="宋体"/>
                <w:szCs w:val="21"/>
              </w:rPr>
            </w:pPr>
          </w:p>
        </w:tc>
        <w:tc>
          <w:tcPr>
            <w:tcW w:w="1253" w:type="dxa"/>
            <w:tcBorders>
              <w:top w:val="single" w:color="auto" w:sz="8" w:space="0"/>
              <w:left w:val="single" w:color="auto" w:sz="8" w:space="0"/>
              <w:bottom w:val="single" w:color="auto" w:sz="8" w:space="0"/>
              <w:right w:val="single" w:color="auto" w:sz="8" w:space="0"/>
            </w:tcBorders>
            <w:noWrap w:val="0"/>
            <w:vAlign w:val="center"/>
          </w:tcPr>
          <w:p w14:paraId="409B0313">
            <w:pPr>
              <w:rPr>
                <w:rFonts w:hint="eastAsia" w:ascii="宋体" w:hAnsi="宋体" w:cs="宋体"/>
                <w:szCs w:val="21"/>
              </w:rPr>
            </w:pPr>
          </w:p>
        </w:tc>
        <w:tc>
          <w:tcPr>
            <w:tcW w:w="1120" w:type="dxa"/>
            <w:tcBorders>
              <w:top w:val="single" w:color="auto" w:sz="8" w:space="0"/>
              <w:left w:val="single" w:color="auto" w:sz="8" w:space="0"/>
              <w:bottom w:val="single" w:color="auto" w:sz="8" w:space="0"/>
              <w:right w:val="single" w:color="auto" w:sz="8" w:space="0"/>
            </w:tcBorders>
            <w:noWrap w:val="0"/>
            <w:vAlign w:val="top"/>
          </w:tcPr>
          <w:p w14:paraId="3093B928">
            <w:pPr>
              <w:rPr>
                <w:rFonts w:hint="eastAsia" w:ascii="宋体" w:hAnsi="宋体" w:cs="宋体"/>
                <w:szCs w:val="21"/>
              </w:rPr>
            </w:pPr>
          </w:p>
        </w:tc>
        <w:tc>
          <w:tcPr>
            <w:tcW w:w="985" w:type="dxa"/>
            <w:tcBorders>
              <w:top w:val="single" w:color="auto" w:sz="8" w:space="0"/>
              <w:left w:val="single" w:color="auto" w:sz="8" w:space="0"/>
              <w:bottom w:val="single" w:color="auto" w:sz="8" w:space="0"/>
              <w:right w:val="single" w:color="auto" w:sz="8" w:space="0"/>
            </w:tcBorders>
            <w:noWrap w:val="0"/>
            <w:vAlign w:val="top"/>
          </w:tcPr>
          <w:p w14:paraId="0DD0A549">
            <w:pPr>
              <w:rPr>
                <w:rFonts w:hint="eastAsia" w:ascii="宋体" w:hAnsi="宋体" w:cs="宋体"/>
                <w:szCs w:val="21"/>
              </w:rPr>
            </w:pPr>
          </w:p>
        </w:tc>
        <w:tc>
          <w:tcPr>
            <w:tcW w:w="1269" w:type="dxa"/>
            <w:tcBorders>
              <w:top w:val="single" w:color="auto" w:sz="8" w:space="0"/>
              <w:left w:val="single" w:color="auto" w:sz="8" w:space="0"/>
              <w:bottom w:val="single" w:color="auto" w:sz="8" w:space="0"/>
              <w:right w:val="single" w:color="auto" w:sz="8" w:space="0"/>
            </w:tcBorders>
            <w:noWrap w:val="0"/>
            <w:vAlign w:val="top"/>
          </w:tcPr>
          <w:p w14:paraId="75AFDCED">
            <w:pPr>
              <w:rPr>
                <w:rFonts w:hint="eastAsia" w:ascii="宋体" w:hAnsi="宋体" w:cs="宋体"/>
                <w:szCs w:val="21"/>
              </w:rPr>
            </w:pPr>
          </w:p>
        </w:tc>
      </w:tr>
      <w:tr w14:paraId="41CD92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7"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27285B07">
            <w:pPr>
              <w:widowControl/>
              <w:spacing w:line="450" w:lineRule="atLeast"/>
              <w:ind w:firstLine="420"/>
              <w:rPr>
                <w:rFonts w:hint="eastAsia" w:ascii="宋体" w:hAnsi="宋体" w:cs="宋体"/>
              </w:rPr>
            </w:pPr>
            <w:r>
              <w:rPr>
                <w:rFonts w:hint="eastAsia" w:ascii="宋体" w:hAnsi="宋体" w:cs="宋体"/>
                <w:color w:val="333333"/>
                <w:kern w:val="0"/>
                <w:sz w:val="24"/>
                <w:lang w:bidi="ar"/>
              </w:rPr>
              <w:t>04</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5D3B7C5C">
            <w:pPr>
              <w:rPr>
                <w:rFonts w:hint="eastAsia" w:ascii="宋体" w:hAnsi="宋体" w:cs="宋体"/>
                <w:szCs w:val="21"/>
              </w:rPr>
            </w:pPr>
          </w:p>
        </w:tc>
        <w:tc>
          <w:tcPr>
            <w:tcW w:w="1253" w:type="dxa"/>
            <w:tcBorders>
              <w:top w:val="single" w:color="auto" w:sz="8" w:space="0"/>
              <w:left w:val="single" w:color="auto" w:sz="8" w:space="0"/>
              <w:bottom w:val="single" w:color="auto" w:sz="8" w:space="0"/>
              <w:right w:val="single" w:color="auto" w:sz="8" w:space="0"/>
            </w:tcBorders>
            <w:noWrap w:val="0"/>
            <w:vAlign w:val="center"/>
          </w:tcPr>
          <w:p w14:paraId="12B3A5AE">
            <w:pPr>
              <w:rPr>
                <w:rFonts w:hint="eastAsia" w:ascii="宋体" w:hAnsi="宋体" w:cs="宋体"/>
                <w:szCs w:val="21"/>
              </w:rPr>
            </w:pPr>
          </w:p>
        </w:tc>
        <w:tc>
          <w:tcPr>
            <w:tcW w:w="1120" w:type="dxa"/>
            <w:tcBorders>
              <w:top w:val="single" w:color="auto" w:sz="8" w:space="0"/>
              <w:left w:val="single" w:color="auto" w:sz="8" w:space="0"/>
              <w:bottom w:val="single" w:color="auto" w:sz="8" w:space="0"/>
              <w:right w:val="single" w:color="auto" w:sz="8" w:space="0"/>
            </w:tcBorders>
            <w:noWrap w:val="0"/>
            <w:vAlign w:val="top"/>
          </w:tcPr>
          <w:p w14:paraId="445FC3C9">
            <w:pPr>
              <w:rPr>
                <w:rFonts w:hint="eastAsia" w:ascii="宋体" w:hAnsi="宋体" w:cs="宋体"/>
                <w:szCs w:val="21"/>
              </w:rPr>
            </w:pPr>
          </w:p>
        </w:tc>
        <w:tc>
          <w:tcPr>
            <w:tcW w:w="985" w:type="dxa"/>
            <w:tcBorders>
              <w:top w:val="single" w:color="auto" w:sz="8" w:space="0"/>
              <w:left w:val="single" w:color="auto" w:sz="8" w:space="0"/>
              <w:bottom w:val="single" w:color="auto" w:sz="8" w:space="0"/>
              <w:right w:val="single" w:color="auto" w:sz="8" w:space="0"/>
            </w:tcBorders>
            <w:noWrap w:val="0"/>
            <w:vAlign w:val="top"/>
          </w:tcPr>
          <w:p w14:paraId="41E15DFC">
            <w:pPr>
              <w:rPr>
                <w:rFonts w:hint="eastAsia" w:ascii="宋体" w:hAnsi="宋体" w:cs="宋体"/>
                <w:szCs w:val="21"/>
              </w:rPr>
            </w:pPr>
          </w:p>
        </w:tc>
        <w:tc>
          <w:tcPr>
            <w:tcW w:w="1269" w:type="dxa"/>
            <w:tcBorders>
              <w:top w:val="single" w:color="auto" w:sz="8" w:space="0"/>
              <w:left w:val="single" w:color="auto" w:sz="8" w:space="0"/>
              <w:bottom w:val="single" w:color="auto" w:sz="8" w:space="0"/>
              <w:right w:val="single" w:color="auto" w:sz="8" w:space="0"/>
            </w:tcBorders>
            <w:noWrap w:val="0"/>
            <w:vAlign w:val="top"/>
          </w:tcPr>
          <w:p w14:paraId="2F46748B">
            <w:pPr>
              <w:rPr>
                <w:rFonts w:hint="eastAsia" w:ascii="宋体" w:hAnsi="宋体" w:cs="宋体"/>
                <w:szCs w:val="21"/>
              </w:rPr>
            </w:pPr>
          </w:p>
        </w:tc>
      </w:tr>
      <w:tr w14:paraId="0E8232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8" w:hRule="atLeast"/>
          <w:jc w:val="center"/>
        </w:trPr>
        <w:tc>
          <w:tcPr>
            <w:tcW w:w="1007" w:type="dxa"/>
            <w:tcBorders>
              <w:top w:val="single" w:color="auto" w:sz="8" w:space="0"/>
              <w:left w:val="single" w:color="auto" w:sz="8" w:space="0"/>
              <w:bottom w:val="single" w:color="auto" w:sz="8" w:space="0"/>
              <w:right w:val="single" w:color="auto" w:sz="8" w:space="0"/>
            </w:tcBorders>
            <w:noWrap w:val="0"/>
            <w:vAlign w:val="center"/>
          </w:tcPr>
          <w:p w14:paraId="1A39F752">
            <w:pPr>
              <w:widowControl/>
              <w:spacing w:line="450" w:lineRule="atLeast"/>
              <w:ind w:firstLine="420"/>
              <w:rPr>
                <w:rFonts w:hint="eastAsia" w:ascii="宋体" w:hAnsi="宋体" w:cs="宋体"/>
              </w:rPr>
            </w:pPr>
            <w:r>
              <w:rPr>
                <w:rFonts w:hint="eastAsia" w:ascii="宋体" w:hAnsi="宋体" w:cs="宋体"/>
                <w:color w:val="333333"/>
                <w:kern w:val="0"/>
                <w:sz w:val="24"/>
                <w:lang w:bidi="ar"/>
              </w:rPr>
              <w:t>05</w:t>
            </w:r>
          </w:p>
        </w:tc>
        <w:tc>
          <w:tcPr>
            <w:tcW w:w="4422" w:type="dxa"/>
            <w:tcBorders>
              <w:top w:val="single" w:color="auto" w:sz="8" w:space="0"/>
              <w:left w:val="single" w:color="auto" w:sz="8" w:space="0"/>
              <w:bottom w:val="single" w:color="auto" w:sz="8" w:space="0"/>
              <w:right w:val="single" w:color="auto" w:sz="8" w:space="0"/>
            </w:tcBorders>
            <w:noWrap w:val="0"/>
            <w:vAlign w:val="center"/>
          </w:tcPr>
          <w:p w14:paraId="13E61692">
            <w:pPr>
              <w:rPr>
                <w:rFonts w:hint="eastAsia" w:ascii="宋体" w:hAnsi="宋体" w:cs="宋体"/>
                <w:szCs w:val="21"/>
              </w:rPr>
            </w:pPr>
          </w:p>
        </w:tc>
        <w:tc>
          <w:tcPr>
            <w:tcW w:w="1253" w:type="dxa"/>
            <w:tcBorders>
              <w:top w:val="single" w:color="auto" w:sz="8" w:space="0"/>
              <w:left w:val="single" w:color="auto" w:sz="8" w:space="0"/>
              <w:bottom w:val="single" w:color="auto" w:sz="8" w:space="0"/>
              <w:right w:val="single" w:color="auto" w:sz="8" w:space="0"/>
            </w:tcBorders>
            <w:noWrap w:val="0"/>
            <w:vAlign w:val="center"/>
          </w:tcPr>
          <w:p w14:paraId="389245CD">
            <w:pPr>
              <w:rPr>
                <w:rFonts w:hint="eastAsia" w:ascii="宋体" w:hAnsi="宋体" w:cs="宋体"/>
                <w:szCs w:val="21"/>
              </w:rPr>
            </w:pPr>
          </w:p>
        </w:tc>
        <w:tc>
          <w:tcPr>
            <w:tcW w:w="1120" w:type="dxa"/>
            <w:tcBorders>
              <w:top w:val="single" w:color="auto" w:sz="8" w:space="0"/>
              <w:left w:val="single" w:color="auto" w:sz="8" w:space="0"/>
              <w:bottom w:val="single" w:color="auto" w:sz="8" w:space="0"/>
              <w:right w:val="single" w:color="auto" w:sz="8" w:space="0"/>
            </w:tcBorders>
            <w:noWrap w:val="0"/>
            <w:vAlign w:val="top"/>
          </w:tcPr>
          <w:p w14:paraId="1B7580C7">
            <w:pPr>
              <w:rPr>
                <w:rFonts w:hint="eastAsia" w:ascii="宋体" w:hAnsi="宋体" w:cs="宋体"/>
                <w:szCs w:val="21"/>
              </w:rPr>
            </w:pPr>
          </w:p>
        </w:tc>
        <w:tc>
          <w:tcPr>
            <w:tcW w:w="985" w:type="dxa"/>
            <w:tcBorders>
              <w:top w:val="single" w:color="auto" w:sz="8" w:space="0"/>
              <w:left w:val="single" w:color="auto" w:sz="8" w:space="0"/>
              <w:bottom w:val="single" w:color="auto" w:sz="8" w:space="0"/>
              <w:right w:val="single" w:color="auto" w:sz="8" w:space="0"/>
            </w:tcBorders>
            <w:noWrap w:val="0"/>
            <w:vAlign w:val="top"/>
          </w:tcPr>
          <w:p w14:paraId="57F642B6">
            <w:pPr>
              <w:rPr>
                <w:rFonts w:hint="eastAsia" w:ascii="宋体" w:hAnsi="宋体" w:cs="宋体"/>
                <w:szCs w:val="21"/>
              </w:rPr>
            </w:pPr>
          </w:p>
        </w:tc>
        <w:tc>
          <w:tcPr>
            <w:tcW w:w="1269" w:type="dxa"/>
            <w:tcBorders>
              <w:top w:val="single" w:color="auto" w:sz="8" w:space="0"/>
              <w:left w:val="single" w:color="auto" w:sz="8" w:space="0"/>
              <w:bottom w:val="single" w:color="auto" w:sz="8" w:space="0"/>
              <w:right w:val="single" w:color="auto" w:sz="8" w:space="0"/>
            </w:tcBorders>
            <w:noWrap w:val="0"/>
            <w:vAlign w:val="top"/>
          </w:tcPr>
          <w:p w14:paraId="3E165689">
            <w:pPr>
              <w:rPr>
                <w:rFonts w:hint="eastAsia" w:ascii="宋体" w:hAnsi="宋体" w:cs="宋体"/>
                <w:szCs w:val="21"/>
              </w:rPr>
            </w:pPr>
          </w:p>
        </w:tc>
      </w:tr>
    </w:tbl>
    <w:p w14:paraId="090BBF4D">
      <w:pPr>
        <w:widowControl/>
        <w:spacing w:line="450" w:lineRule="atLeast"/>
        <w:rPr>
          <w:rFonts w:hint="eastAsia" w:ascii="宋体" w:hAnsi="宋体" w:cs="宋体"/>
          <w:color w:val="333333"/>
          <w:kern w:val="0"/>
          <w:sz w:val="24"/>
          <w:shd w:val="clear" w:color="auto" w:fill="FFFFFF"/>
          <w:lang w:bidi="ar"/>
        </w:rPr>
      </w:pPr>
    </w:p>
    <w:p w14:paraId="612C3F2A">
      <w:pPr>
        <w:widowControl/>
        <w:rPr>
          <w:rFonts w:hint="default"/>
          <w:lang w:val="en-US" w:eastAsia="zh-CN"/>
        </w:rPr>
      </w:pPr>
      <w:r>
        <w:rPr>
          <w:rFonts w:hint="eastAsia" w:ascii="宋体" w:hAnsi="宋体" w:cs="宋体"/>
          <w:b/>
          <w:bCs/>
          <w:color w:val="333333"/>
          <w:kern w:val="0"/>
          <w:sz w:val="24"/>
          <w:shd w:val="clear" w:color="auto" w:fill="FFFFFF"/>
          <w:lang w:bidi="ar"/>
        </w:rPr>
        <w:t xml:space="preserve">7、比选委员会签名：                                        </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22186">
    <w:pPr>
      <w:pStyle w:val="8"/>
      <w:jc w:val="both"/>
      <w:rPr>
        <w:rFonts w:ascii="宋体" w:hAnsi="宋体"/>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9D5F87"/>
    <w:multiLevelType w:val="singleLevel"/>
    <w:tmpl w:val="AA9D5F87"/>
    <w:lvl w:ilvl="0" w:tentative="0">
      <w:start w:val="3"/>
      <w:numFmt w:val="chineseCounting"/>
      <w:suff w:val="nothing"/>
      <w:lvlText w:val="（%1）"/>
      <w:lvlJc w:val="left"/>
      <w:rPr>
        <w:rFonts w:hint="eastAsia"/>
      </w:rPr>
    </w:lvl>
  </w:abstractNum>
  <w:abstractNum w:abstractNumId="1">
    <w:nsid w:val="EAC61617"/>
    <w:multiLevelType w:val="singleLevel"/>
    <w:tmpl w:val="EAC61617"/>
    <w:lvl w:ilvl="0" w:tentative="0">
      <w:start w:val="4"/>
      <w:numFmt w:val="decimal"/>
      <w:suff w:val="nothing"/>
      <w:lvlText w:val="%1、"/>
      <w:lvlJc w:val="left"/>
    </w:lvl>
  </w:abstractNum>
  <w:abstractNum w:abstractNumId="2">
    <w:nsid w:val="0F2E7C4C"/>
    <w:multiLevelType w:val="multilevel"/>
    <w:tmpl w:val="0F2E7C4C"/>
    <w:lvl w:ilvl="0" w:tentative="0">
      <w:start w:val="1"/>
      <w:numFmt w:val="chineseCountingThousand"/>
      <w:pStyle w:val="6"/>
      <w:suff w:val="nothing"/>
      <w:lvlText w:val="第%1章"/>
      <w:lvlJc w:val="left"/>
      <w:pPr>
        <w:ind w:left="482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EC5DEF"/>
    <w:rsid w:val="01311D17"/>
    <w:rsid w:val="0DF7675B"/>
    <w:rsid w:val="14726477"/>
    <w:rsid w:val="152D05F0"/>
    <w:rsid w:val="1B94073F"/>
    <w:rsid w:val="22F22E37"/>
    <w:rsid w:val="280B47C0"/>
    <w:rsid w:val="2E577C48"/>
    <w:rsid w:val="38EC5DEF"/>
    <w:rsid w:val="3C8B539B"/>
    <w:rsid w:val="3E295549"/>
    <w:rsid w:val="4101455B"/>
    <w:rsid w:val="447B4624"/>
    <w:rsid w:val="4B636A1B"/>
    <w:rsid w:val="69BD5C5A"/>
    <w:rsid w:val="6B8C1561"/>
    <w:rsid w:val="70B30B1E"/>
    <w:rsid w:val="71445C1A"/>
    <w:rsid w:val="739B1AD4"/>
    <w:rsid w:val="74554555"/>
    <w:rsid w:val="7BF26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numPr>
        <w:ilvl w:val="0"/>
        <w:numId w:val="1"/>
      </w:numPr>
      <w:spacing w:before="340" w:after="330" w:line="578" w:lineRule="auto"/>
      <w:outlineLvl w:val="0"/>
    </w:pPr>
    <w:rPr>
      <w:b/>
      <w:bCs/>
      <w:kern w:val="44"/>
      <w:sz w:val="44"/>
      <w:szCs w:val="44"/>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spacing w:after="120" w:line="240" w:lineRule="auto"/>
      <w:ind w:left="420" w:leftChars="200" w:firstLine="200"/>
    </w:pPr>
    <w:rPr>
      <w:sz w:val="21"/>
    </w:rPr>
  </w:style>
  <w:style w:type="paragraph" w:styleId="3">
    <w:name w:val="Body Text Indent"/>
    <w:basedOn w:val="1"/>
    <w:next w:val="4"/>
    <w:qFormat/>
    <w:uiPriority w:val="0"/>
    <w:pPr>
      <w:spacing w:line="560" w:lineRule="exact"/>
      <w:ind w:firstLine="560" w:firstLineChars="200"/>
    </w:pPr>
    <w:rPr>
      <w:rFonts w:ascii="宋体" w:hAnsi="宋体"/>
      <w:color w:val="0000FF"/>
      <w:sz w:val="28"/>
    </w:rPr>
  </w:style>
  <w:style w:type="paragraph" w:styleId="4">
    <w:name w:val="envelope return"/>
    <w:basedOn w:val="1"/>
    <w:unhideWhenUsed/>
    <w:qFormat/>
    <w:uiPriority w:val="99"/>
    <w:pPr>
      <w:snapToGrid w:val="0"/>
    </w:pPr>
    <w:rPr>
      <w:rFonts w:ascii="Arial" w:hAnsi="Arial"/>
    </w:rPr>
  </w:style>
  <w:style w:type="paragraph" w:styleId="5">
    <w:name w:val="Body Text"/>
    <w:basedOn w:val="1"/>
    <w:next w:val="1"/>
    <w:qFormat/>
    <w:uiPriority w:val="0"/>
    <w:pPr>
      <w:spacing w:after="120"/>
    </w:p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3802</Words>
  <Characters>3988</Characters>
  <Lines>0</Lines>
  <Paragraphs>0</Paragraphs>
  <TotalTime>74</TotalTime>
  <ScaleCrop>false</ScaleCrop>
  <LinksUpToDate>false</LinksUpToDate>
  <CharactersWithSpaces>4075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2026-08-24T07:27:00Z</dcterms:created>
  <dc:creator>Administrator</dc:creator>
  <cp:lastModifiedBy>Administrator</cp:lastModifiedBy>
  <cp:lastPrinted>2026-08-25T03:18:00Z</cp:lastPrinted>
  <dcterms:modified xsi:type="dcterms:W3CDTF">2026-08-26T08:46:08Z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0304EB66046F487FB4932C19720A2E95_13</vt:lpwstr>
  </property>
  <property fmtid="{D5CDD505-2E9C-101B-9397-08002B2CF9AE}" pid="4" name="KSOTemplateDocerSaveRecord">
    <vt:lpwstr>eyJoZGlkIjoiZjc3NDA2NjYzYTQ0YzMwNzFmMTEwYTM2YjZhYmEwOGYifQ==</vt:lpwstr>
  </property>
</Properties>
</file>